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67ADD" w14:textId="77777777" w:rsidR="00A2328A" w:rsidRPr="000D367A" w:rsidRDefault="00A2328A" w:rsidP="00A2328A">
      <w:pPr>
        <w:spacing w:line="259" w:lineRule="auto"/>
        <w:jc w:val="center"/>
        <w:rPr>
          <w:rFonts w:eastAsiaTheme="majorEastAsia" w:cstheme="minorHAnsi"/>
        </w:rPr>
      </w:pPr>
    </w:p>
    <w:p w14:paraId="46320B2A" w14:textId="77777777" w:rsidR="000D367A" w:rsidRDefault="000D367A" w:rsidP="00A2328A">
      <w:pPr>
        <w:spacing w:line="259" w:lineRule="auto"/>
        <w:jc w:val="center"/>
        <w:rPr>
          <w:rFonts w:eastAsiaTheme="majorEastAsia" w:cstheme="minorHAnsi"/>
          <w:b/>
          <w:bCs/>
          <w:color w:val="4472C4" w:themeColor="accent1"/>
          <w:sz w:val="40"/>
          <w:szCs w:val="40"/>
        </w:rPr>
      </w:pPr>
    </w:p>
    <w:p w14:paraId="0FD80322" w14:textId="77777777" w:rsidR="000D367A" w:rsidRDefault="000D367A" w:rsidP="00A2328A">
      <w:pPr>
        <w:spacing w:line="259" w:lineRule="auto"/>
        <w:jc w:val="center"/>
        <w:rPr>
          <w:rFonts w:eastAsiaTheme="majorEastAsia" w:cstheme="minorHAnsi"/>
          <w:b/>
          <w:bCs/>
          <w:color w:val="4472C4" w:themeColor="accent1"/>
          <w:sz w:val="40"/>
          <w:szCs w:val="40"/>
        </w:rPr>
      </w:pPr>
    </w:p>
    <w:p w14:paraId="3CECECCF" w14:textId="77777777" w:rsidR="000D367A" w:rsidRDefault="000D367A" w:rsidP="00A2328A">
      <w:pPr>
        <w:spacing w:line="259" w:lineRule="auto"/>
        <w:jc w:val="center"/>
        <w:rPr>
          <w:rFonts w:eastAsiaTheme="majorEastAsia" w:cstheme="minorHAnsi"/>
          <w:b/>
          <w:bCs/>
          <w:color w:val="4472C4" w:themeColor="accent1"/>
          <w:sz w:val="40"/>
          <w:szCs w:val="40"/>
        </w:rPr>
      </w:pPr>
    </w:p>
    <w:p w14:paraId="5000AFD3" w14:textId="77777777" w:rsidR="000D367A" w:rsidRDefault="000D367A" w:rsidP="00A2328A">
      <w:pPr>
        <w:spacing w:line="259" w:lineRule="auto"/>
        <w:jc w:val="center"/>
        <w:rPr>
          <w:rFonts w:eastAsiaTheme="majorEastAsia" w:cstheme="minorHAnsi"/>
          <w:b/>
          <w:bCs/>
          <w:color w:val="4472C4" w:themeColor="accent1"/>
          <w:sz w:val="40"/>
          <w:szCs w:val="40"/>
        </w:rPr>
      </w:pPr>
    </w:p>
    <w:p w14:paraId="2F833BA6" w14:textId="6845920B" w:rsidR="000D367A" w:rsidRDefault="00A2328A" w:rsidP="00A2328A">
      <w:pPr>
        <w:spacing w:line="259" w:lineRule="auto"/>
        <w:jc w:val="center"/>
        <w:rPr>
          <w:rFonts w:eastAsiaTheme="majorEastAsia" w:cstheme="minorHAnsi"/>
          <w:b/>
          <w:bCs/>
          <w:color w:val="4472C4" w:themeColor="accent1"/>
          <w:sz w:val="40"/>
          <w:szCs w:val="40"/>
        </w:rPr>
      </w:pPr>
      <w:r w:rsidRPr="000D367A">
        <w:rPr>
          <w:rFonts w:eastAsiaTheme="majorEastAsia" w:cstheme="minorHAnsi"/>
          <w:b/>
          <w:bCs/>
          <w:color w:val="4472C4" w:themeColor="accent1"/>
          <w:sz w:val="40"/>
          <w:szCs w:val="40"/>
        </w:rPr>
        <w:t>RAPPORT D’ORIENTATIONS BUDGETAIRES 202</w:t>
      </w:r>
      <w:r w:rsidR="008A7DB1" w:rsidRPr="000D367A">
        <w:rPr>
          <w:rFonts w:eastAsiaTheme="majorEastAsia" w:cstheme="minorHAnsi"/>
          <w:b/>
          <w:bCs/>
          <w:color w:val="4472C4" w:themeColor="accent1"/>
          <w:sz w:val="40"/>
          <w:szCs w:val="40"/>
        </w:rPr>
        <w:t>6</w:t>
      </w:r>
      <w:r w:rsidRPr="000D367A">
        <w:rPr>
          <w:rFonts w:eastAsiaTheme="majorEastAsia" w:cstheme="minorHAnsi"/>
          <w:b/>
          <w:bCs/>
          <w:color w:val="4472C4" w:themeColor="accent1"/>
          <w:sz w:val="40"/>
          <w:szCs w:val="40"/>
        </w:rPr>
        <w:t xml:space="preserve"> </w:t>
      </w:r>
    </w:p>
    <w:p w14:paraId="2D77FE17" w14:textId="370E0283" w:rsidR="00A2328A" w:rsidRPr="000D367A" w:rsidRDefault="00A2328A" w:rsidP="00A2328A">
      <w:pPr>
        <w:spacing w:line="259" w:lineRule="auto"/>
        <w:jc w:val="center"/>
        <w:rPr>
          <w:rFonts w:eastAsiaTheme="majorEastAsia" w:cstheme="minorHAnsi"/>
          <w:b/>
          <w:bCs/>
          <w:color w:val="4472C4" w:themeColor="accent1"/>
          <w:sz w:val="40"/>
          <w:szCs w:val="40"/>
        </w:rPr>
      </w:pPr>
      <w:r w:rsidRPr="000D367A">
        <w:rPr>
          <w:rFonts w:eastAsiaTheme="majorEastAsia" w:cstheme="minorHAnsi"/>
          <w:b/>
          <w:bCs/>
          <w:color w:val="4472C4" w:themeColor="accent1"/>
          <w:sz w:val="40"/>
          <w:szCs w:val="40"/>
        </w:rPr>
        <w:t>PETR NORD DE L’YONNE</w:t>
      </w:r>
    </w:p>
    <w:p w14:paraId="369EFA9E" w14:textId="77777777" w:rsidR="00A2328A" w:rsidRPr="000D367A" w:rsidRDefault="00A2328A">
      <w:pPr>
        <w:spacing w:line="259" w:lineRule="auto"/>
        <w:rPr>
          <w:rFonts w:eastAsiaTheme="majorEastAsia" w:cstheme="minorHAnsi"/>
        </w:rPr>
      </w:pPr>
      <w:r w:rsidRPr="000D367A">
        <w:rPr>
          <w:rFonts w:eastAsiaTheme="majorEastAsia" w:cstheme="minorHAnsi"/>
        </w:rPr>
        <w:br w:type="page"/>
      </w:r>
    </w:p>
    <w:p w14:paraId="767A38F3" w14:textId="3FC007C9" w:rsidR="00A331FC" w:rsidRPr="000D367A" w:rsidRDefault="00A331FC" w:rsidP="00A331FC">
      <w:pPr>
        <w:spacing w:line="259" w:lineRule="auto"/>
        <w:rPr>
          <w:rFonts w:eastAsiaTheme="minorHAnsi" w:cstheme="minorHAnsi"/>
          <w:b/>
          <w:bCs/>
          <w:u w:val="single"/>
          <w:lang w:eastAsia="en-US"/>
        </w:rPr>
      </w:pPr>
      <w:r w:rsidRPr="000D367A">
        <w:rPr>
          <w:rFonts w:eastAsiaTheme="minorHAnsi" w:cstheme="minorHAnsi"/>
          <w:b/>
          <w:bCs/>
          <w:u w:val="single"/>
          <w:lang w:eastAsia="en-US"/>
        </w:rPr>
        <w:lastRenderedPageBreak/>
        <w:t xml:space="preserve">Introduction : </w:t>
      </w:r>
    </w:p>
    <w:p w14:paraId="57C6CA2C" w14:textId="77777777" w:rsidR="00A331FC" w:rsidRPr="000D367A" w:rsidRDefault="00A331FC" w:rsidP="00A331FC">
      <w:pPr>
        <w:spacing w:after="0"/>
        <w:jc w:val="both"/>
        <w:rPr>
          <w:rFonts w:cstheme="minorHAnsi"/>
        </w:rPr>
      </w:pPr>
      <w:r w:rsidRPr="000D367A">
        <w:rPr>
          <w:rFonts w:cstheme="minorHAnsi"/>
        </w:rPr>
        <w:t xml:space="preserve">La présentation d’un Rapport d’Orientations Budgétaires (ROB) est une obligation légale pour toutes les communes de plus de 3 500 habitants, un débat devant également se tenir dans les deux mois précédent l’examen du budget primitif. </w:t>
      </w:r>
    </w:p>
    <w:p w14:paraId="0046E762" w14:textId="77777777" w:rsidR="00A331FC" w:rsidRPr="000D367A" w:rsidRDefault="00A331FC" w:rsidP="00A331FC">
      <w:pPr>
        <w:spacing w:after="0"/>
        <w:jc w:val="both"/>
        <w:rPr>
          <w:rFonts w:cstheme="minorHAnsi"/>
        </w:rPr>
      </w:pPr>
    </w:p>
    <w:p w14:paraId="3B275592" w14:textId="77777777" w:rsidR="00A331FC" w:rsidRPr="000D367A" w:rsidRDefault="00A331FC" w:rsidP="00A331FC">
      <w:pPr>
        <w:spacing w:after="0"/>
        <w:jc w:val="both"/>
        <w:rPr>
          <w:rFonts w:cstheme="minorHAnsi"/>
        </w:rPr>
      </w:pPr>
      <w:r w:rsidRPr="000D367A">
        <w:rPr>
          <w:rFonts w:cstheme="minorHAnsi"/>
        </w:rPr>
        <w:t>La loi du février 1992 relative à l’administration territoriale de la République a instauré ce rapport pour répondre à deux objectifs principaux :</w:t>
      </w:r>
    </w:p>
    <w:p w14:paraId="6F0A9A01" w14:textId="77777777" w:rsidR="00A331FC" w:rsidRPr="000D367A" w:rsidRDefault="00A331FC" w:rsidP="00A331FC">
      <w:pPr>
        <w:spacing w:after="0"/>
        <w:jc w:val="both"/>
        <w:rPr>
          <w:rFonts w:cstheme="minorHAnsi"/>
        </w:rPr>
      </w:pPr>
      <w:r w:rsidRPr="000D367A">
        <w:rPr>
          <w:rFonts w:cstheme="minorHAnsi"/>
        </w:rPr>
        <w:t xml:space="preserve"> - Le premier est de permettre à l’assemblée délibérante de discuter des orientations budgétaires qui préfigurent des priorités qui seront inscrites au budget primitif ; </w:t>
      </w:r>
    </w:p>
    <w:p w14:paraId="04C30A09" w14:textId="77777777" w:rsidR="00A331FC" w:rsidRPr="000D367A" w:rsidRDefault="00A331FC" w:rsidP="00A331FC">
      <w:pPr>
        <w:spacing w:after="0"/>
        <w:jc w:val="both"/>
        <w:rPr>
          <w:rFonts w:cstheme="minorHAnsi"/>
        </w:rPr>
      </w:pPr>
      <w:r w:rsidRPr="000D367A">
        <w:rPr>
          <w:rFonts w:cstheme="minorHAnsi"/>
        </w:rPr>
        <w:t>- Le second objectif est d’apporter une information sur l’évolution de la situation financière de la collectivité.</w:t>
      </w:r>
    </w:p>
    <w:p w14:paraId="49649D83" w14:textId="77777777" w:rsidR="00A331FC" w:rsidRPr="000D367A" w:rsidRDefault="00A331FC" w:rsidP="00A331FC">
      <w:pPr>
        <w:spacing w:after="0"/>
        <w:jc w:val="both"/>
        <w:rPr>
          <w:rFonts w:cstheme="minorHAnsi"/>
        </w:rPr>
      </w:pPr>
    </w:p>
    <w:p w14:paraId="33FB84CE" w14:textId="77777777" w:rsidR="00A331FC" w:rsidRPr="000D367A" w:rsidRDefault="00A331FC" w:rsidP="00A331FC">
      <w:pPr>
        <w:spacing w:after="0"/>
        <w:jc w:val="both"/>
        <w:rPr>
          <w:rFonts w:cstheme="minorHAnsi"/>
        </w:rPr>
      </w:pPr>
      <w:r w:rsidRPr="000D367A">
        <w:rPr>
          <w:rFonts w:cstheme="minorHAnsi"/>
        </w:rPr>
        <w:t xml:space="preserve">C’est ensuite la loi </w:t>
      </w:r>
      <w:proofErr w:type="spellStart"/>
      <w:r w:rsidRPr="000D367A">
        <w:rPr>
          <w:rFonts w:cstheme="minorHAnsi"/>
        </w:rPr>
        <w:t>NOTRe</w:t>
      </w:r>
      <w:proofErr w:type="spellEnd"/>
      <w:r w:rsidRPr="000D367A">
        <w:rPr>
          <w:rFonts w:cstheme="minorHAnsi"/>
        </w:rPr>
        <w:t xml:space="preserve"> qui dispose que ce temps budgétaire doit permettre d’évaluer les précisions budgétaires sur divers aspects : épargne ou encore endettement. </w:t>
      </w:r>
    </w:p>
    <w:p w14:paraId="5322A0FC" w14:textId="77777777" w:rsidR="00A331FC" w:rsidRPr="000D367A" w:rsidRDefault="00A331FC" w:rsidP="00A331FC">
      <w:pPr>
        <w:spacing w:after="0"/>
        <w:jc w:val="both"/>
        <w:rPr>
          <w:rFonts w:cstheme="minorHAnsi"/>
          <w:b/>
          <w:bCs/>
        </w:rPr>
      </w:pPr>
    </w:p>
    <w:p w14:paraId="7286CEB1" w14:textId="680B8F43" w:rsidR="00A331FC" w:rsidRPr="000D367A" w:rsidRDefault="00A331FC" w:rsidP="00A331FC">
      <w:pPr>
        <w:spacing w:after="0"/>
        <w:jc w:val="both"/>
        <w:rPr>
          <w:rFonts w:cstheme="minorHAnsi"/>
        </w:rPr>
      </w:pPr>
      <w:r w:rsidRPr="000D367A">
        <w:rPr>
          <w:rFonts w:cstheme="minorHAnsi"/>
        </w:rPr>
        <w:t xml:space="preserve">Ce rapport doit permettre de mener et nourrir la réflexion préalable au vote du budget primitif 2026 du PETR du Nord de l’Yonne. </w:t>
      </w:r>
    </w:p>
    <w:p w14:paraId="38B452C3" w14:textId="77777777" w:rsidR="00A331FC" w:rsidRPr="000D367A" w:rsidRDefault="00A331FC" w:rsidP="00A331FC">
      <w:pPr>
        <w:spacing w:after="0" w:line="240" w:lineRule="auto"/>
        <w:jc w:val="both"/>
        <w:rPr>
          <w:rFonts w:cstheme="minorHAnsi"/>
        </w:rPr>
      </w:pPr>
    </w:p>
    <w:p w14:paraId="78D7E36B" w14:textId="77777777" w:rsidR="00A331FC" w:rsidRPr="000D367A" w:rsidRDefault="00A331FC" w:rsidP="00A331FC">
      <w:pPr>
        <w:spacing w:line="240" w:lineRule="auto"/>
        <w:contextualSpacing/>
        <w:jc w:val="both"/>
        <w:rPr>
          <w:rFonts w:cstheme="minorHAnsi"/>
        </w:rPr>
      </w:pPr>
      <w:r w:rsidRPr="000D367A">
        <w:rPr>
          <w:rFonts w:cstheme="minorHAnsi"/>
        </w:rPr>
        <w:t>Pour rappel, les orientations doivent faire l’objet d’une communication, d’une publication et la présentation de ce rapport doit donner lieu à une délibération spécifique.</w:t>
      </w:r>
    </w:p>
    <w:p w14:paraId="3EBF9BBF" w14:textId="77777777" w:rsidR="00A331FC" w:rsidRPr="000D367A" w:rsidRDefault="00A331FC" w:rsidP="00A331FC">
      <w:pPr>
        <w:pStyle w:val="Paragraphedeliste"/>
        <w:spacing w:line="259" w:lineRule="auto"/>
        <w:ind w:left="1080"/>
        <w:rPr>
          <w:rFonts w:eastAsiaTheme="minorHAnsi" w:cstheme="minorHAnsi"/>
          <w:b/>
          <w:bCs/>
          <w:u w:val="single"/>
          <w:lang w:eastAsia="en-US"/>
        </w:rPr>
      </w:pPr>
    </w:p>
    <w:p w14:paraId="2DC194B7" w14:textId="64C1B644" w:rsidR="00A2328A" w:rsidRPr="000D367A" w:rsidRDefault="0025745A" w:rsidP="0025745A">
      <w:pPr>
        <w:pStyle w:val="Paragraphedeliste"/>
        <w:numPr>
          <w:ilvl w:val="0"/>
          <w:numId w:val="15"/>
        </w:numPr>
        <w:spacing w:line="259" w:lineRule="auto"/>
        <w:rPr>
          <w:rFonts w:eastAsiaTheme="minorHAnsi" w:cstheme="minorHAnsi"/>
          <w:b/>
          <w:bCs/>
          <w:u w:val="single"/>
          <w:lang w:eastAsia="en-US"/>
        </w:rPr>
      </w:pPr>
      <w:r w:rsidRPr="000D367A">
        <w:rPr>
          <w:rFonts w:eastAsiaTheme="minorHAnsi" w:cstheme="minorHAnsi"/>
          <w:b/>
          <w:bCs/>
          <w:u w:val="single"/>
          <w:lang w:eastAsia="en-US"/>
        </w:rPr>
        <w:t xml:space="preserve">Contexte budgétaire national : </w:t>
      </w:r>
    </w:p>
    <w:sdt>
      <w:sdtPr>
        <w:rPr>
          <w:b/>
          <w:bCs/>
          <w:caps/>
          <w:color w:val="767171" w:themeColor="background2" w:themeShade="80"/>
        </w:rPr>
        <w:id w:val="-1113591329"/>
        <w:placeholder>
          <w:docPart w:val="C78595C2BB114BB8BACA61481500AFC3"/>
        </w:placeholder>
        <w15:appearance w15:val="hidden"/>
      </w:sdtPr>
      <w:sdtEndPr>
        <w:rPr>
          <w:b w:val="0"/>
          <w:bCs w:val="0"/>
          <w:caps w:val="0"/>
          <w:color w:val="auto"/>
        </w:rPr>
      </w:sdtEndPr>
      <w:sdtContent>
        <w:p w14:paraId="749C8E42" w14:textId="77777777" w:rsidR="009119D5" w:rsidRPr="000D367A" w:rsidRDefault="009119D5" w:rsidP="009119D5">
          <w:pPr>
            <w:rPr>
              <w:rFonts w:cstheme="minorHAnsi"/>
              <w:b/>
              <w:caps/>
              <w:color w:val="767171" w:themeColor="background2" w:themeShade="80"/>
            </w:rPr>
          </w:pPr>
        </w:p>
        <w:p w14:paraId="64368FCB" w14:textId="30D650A6" w:rsidR="002264CD" w:rsidRPr="000D367A" w:rsidRDefault="009119D5" w:rsidP="002264CD">
          <w:pPr>
            <w:jc w:val="both"/>
            <w:rPr>
              <w:rFonts w:cstheme="minorHAnsi"/>
            </w:rPr>
          </w:pPr>
          <w:r w:rsidRPr="000D367A">
            <w:rPr>
              <w:rFonts w:cstheme="minorHAnsi"/>
            </w:rPr>
            <w:t xml:space="preserve">En ce début d’année 2026, la loi ne finance n’a pas été adoptée. Une loi spéciale a </w:t>
          </w:r>
          <w:r w:rsidR="000B60AA" w:rsidRPr="000D367A">
            <w:rPr>
              <w:rFonts w:cstheme="minorHAnsi"/>
            </w:rPr>
            <w:t xml:space="preserve">donc </w:t>
          </w:r>
          <w:r w:rsidRPr="000D367A">
            <w:rPr>
              <w:rFonts w:cstheme="minorHAnsi"/>
            </w:rPr>
            <w:t>été voté</w:t>
          </w:r>
          <w:r w:rsidR="000B60AA" w:rsidRPr="000D367A">
            <w:rPr>
              <w:rFonts w:cstheme="minorHAnsi"/>
            </w:rPr>
            <w:t>e</w:t>
          </w:r>
          <w:r w:rsidRPr="000D367A">
            <w:rPr>
              <w:rFonts w:cstheme="minorHAnsi"/>
            </w:rPr>
            <w:t xml:space="preserve"> le 23 décembre dernier</w:t>
          </w:r>
          <w:r w:rsidR="002264CD" w:rsidRPr="000D367A">
            <w:rPr>
              <w:rFonts w:cstheme="minorHAnsi"/>
            </w:rPr>
            <w:t>, elle comprend trois articles : le premier article concerne l’autorisation de lever l’impôt, le deuxième article permet de garantir les ressources nécessaires au bon fonctionnement des collectivités locales et le troisième article autorise l’État à émettre de la dette afin d’assurer la continuité de son action et des services publics.</w:t>
          </w:r>
        </w:p>
        <w:p w14:paraId="6AEB1A2E" w14:textId="395776A8" w:rsidR="009119D5" w:rsidRPr="000D367A" w:rsidRDefault="002264CD" w:rsidP="002264CD">
          <w:pPr>
            <w:jc w:val="both"/>
            <w:rPr>
              <w:rFonts w:cstheme="minorHAnsi"/>
            </w:rPr>
          </w:pPr>
          <w:r w:rsidRPr="000D367A">
            <w:rPr>
              <w:rFonts w:cstheme="minorHAnsi"/>
            </w:rPr>
            <w:t>Cette loi est complétée par un décret ouvrant les services votés (DSV) publié le 30 décembre. Le DSV précise et reconduit pour 2026, les crédits des programmes budgétaires de 2025, dans la limite de ce que prévoyait la loi de finances initiale pour 2025. Ces crédits constituent le minimum de crédits que le Gouvernement juge indispensable pour poursuivre l'exécution des services publics dans les conditions qui ont été approuvées l'année précédente par le Parlement. Toutefois, seules les dépenses jugées indispensables pour poursuivre l’exécution des services publics pourront être exécutées. La loi spéciale et le DSV n’ont toutefois vocation à être que temporaires et leur application cessera dès l’adoption et l’entrée en vigueur de la Loi de Finance 2026.</w:t>
          </w:r>
        </w:p>
        <w:p w14:paraId="0D20DD87" w14:textId="77777777" w:rsidR="002264CD" w:rsidRPr="000D367A" w:rsidRDefault="002264CD" w:rsidP="002264CD">
          <w:pPr>
            <w:jc w:val="both"/>
            <w:rPr>
              <w:rFonts w:cstheme="minorHAnsi"/>
            </w:rPr>
          </w:pPr>
        </w:p>
        <w:p w14:paraId="650A7EB4" w14:textId="37C277F2" w:rsidR="002264CD" w:rsidRPr="000D367A" w:rsidRDefault="002264CD" w:rsidP="000B60AA">
          <w:pPr>
            <w:pStyle w:val="Titre1"/>
            <w:jc w:val="both"/>
            <w:rPr>
              <w:rFonts w:asciiTheme="minorHAnsi" w:hAnsiTheme="minorHAnsi" w:cstheme="minorHAnsi"/>
              <w:sz w:val="22"/>
              <w:szCs w:val="22"/>
            </w:rPr>
          </w:pPr>
          <w:bookmarkStart w:id="0" w:name="_Toc215762706"/>
          <w:r w:rsidRPr="000D367A">
            <w:rPr>
              <w:rFonts w:asciiTheme="minorHAnsi" w:hAnsiTheme="minorHAnsi" w:cstheme="minorHAnsi"/>
              <w:sz w:val="22"/>
              <w:szCs w:val="22"/>
            </w:rPr>
            <w:lastRenderedPageBreak/>
            <w:t>les dispositions interéssant les collectivités pour le plfi 2026</w:t>
          </w:r>
          <w:bookmarkEnd w:id="0"/>
          <w:r w:rsidR="002E3E18" w:rsidRPr="000D367A">
            <w:rPr>
              <w:rFonts w:asciiTheme="minorHAnsi" w:hAnsiTheme="minorHAnsi" w:cstheme="minorHAnsi"/>
              <w:sz w:val="22"/>
              <w:szCs w:val="22"/>
            </w:rPr>
            <w:t xml:space="preserve"> (source : PUBLIC AVENIR)</w:t>
          </w:r>
        </w:p>
        <w:p w14:paraId="5EABB2C7" w14:textId="77777777" w:rsidR="002264CD" w:rsidRPr="000D367A" w:rsidRDefault="002264CD" w:rsidP="000B60AA">
          <w:pPr>
            <w:jc w:val="both"/>
            <w:rPr>
              <w:rFonts w:cstheme="minorHAnsi"/>
            </w:rPr>
          </w:pPr>
          <w:r w:rsidRPr="000D367A">
            <w:rPr>
              <w:rFonts w:cstheme="minorHAnsi"/>
            </w:rPr>
            <w:t>S’il est très difficile aujourd’hui d’anticiper le texte définitif de la loi de finances pour 2026, il est néanmoins possible de dégager les grandes tendances. Au global, ce sont 7 milliards d’€ d’efforts demandés aux collectivités.</w:t>
          </w:r>
        </w:p>
        <w:p w14:paraId="7BF67201" w14:textId="77777777" w:rsidR="002264CD" w:rsidRPr="000D367A" w:rsidRDefault="002264CD" w:rsidP="000B60AA">
          <w:pPr>
            <w:jc w:val="both"/>
            <w:rPr>
              <w:rFonts w:cstheme="minorHAnsi"/>
            </w:rPr>
          </w:pPr>
          <w:r w:rsidRPr="000D367A">
            <w:rPr>
              <w:rFonts w:cstheme="minorHAnsi"/>
              <w:noProof/>
            </w:rPr>
            <mc:AlternateContent>
              <mc:Choice Requires="wps">
                <w:drawing>
                  <wp:anchor distT="0" distB="0" distL="114300" distR="114300" simplePos="0" relativeHeight="251660288" behindDoc="0" locked="0" layoutInCell="1" allowOverlap="1" wp14:anchorId="3718CFCA" wp14:editId="4DE84E40">
                    <wp:simplePos x="0" y="0"/>
                    <wp:positionH relativeFrom="margin">
                      <wp:align>center</wp:align>
                    </wp:positionH>
                    <wp:positionV relativeFrom="paragraph">
                      <wp:posOffset>141605</wp:posOffset>
                    </wp:positionV>
                    <wp:extent cx="3520440" cy="281940"/>
                    <wp:effectExtent l="0" t="0" r="3810" b="3810"/>
                    <wp:wrapSquare wrapText="bothSides"/>
                    <wp:docPr id="1749685108" name="Zone de texte 1"/>
                    <wp:cNvGraphicFramePr/>
                    <a:graphic xmlns:a="http://schemas.openxmlformats.org/drawingml/2006/main">
                      <a:graphicData uri="http://schemas.microsoft.com/office/word/2010/wordprocessingShape">
                        <wps:wsp>
                          <wps:cNvSpPr txBox="1"/>
                          <wps:spPr>
                            <a:xfrm>
                              <a:off x="0" y="0"/>
                              <a:ext cx="3520440" cy="281940"/>
                            </a:xfrm>
                            <a:prstGeom prst="rect">
                              <a:avLst/>
                            </a:prstGeom>
                            <a:solidFill>
                              <a:prstClr val="white"/>
                            </a:solidFill>
                            <a:ln>
                              <a:noFill/>
                            </a:ln>
                          </wps:spPr>
                          <wps:txbx>
                            <w:txbxContent>
                              <w:p w14:paraId="07D8D24A" w14:textId="349BF309" w:rsidR="002264CD" w:rsidRPr="00857136" w:rsidRDefault="002264CD" w:rsidP="002264CD">
                                <w:pPr>
                                  <w:pStyle w:val="Lgende"/>
                                  <w:jc w:val="center"/>
                                  <w:rPr>
                                    <w:noProof/>
                                    <w:color w:val="000000" w:themeColor="text1"/>
                                    <w:sz w:val="20"/>
                                    <w:szCs w:val="20"/>
                                  </w:rPr>
                                </w:pPr>
                                <w:bookmarkStart w:id="1" w:name="_Toc215762290"/>
                                <w:r w:rsidRPr="00857136">
                                  <w:rPr>
                                    <w:color w:val="000000" w:themeColor="text1"/>
                                    <w:sz w:val="20"/>
                                    <w:szCs w:val="16"/>
                                  </w:rPr>
                                  <w:t>Tablea</w:t>
                                </w:r>
                                <w:r w:rsidR="000B60AA">
                                  <w:rPr>
                                    <w:color w:val="000000" w:themeColor="text1"/>
                                    <w:sz w:val="20"/>
                                    <w:szCs w:val="16"/>
                                  </w:rPr>
                                  <w:t>u</w:t>
                                </w:r>
                                <w:r w:rsidRPr="00857136">
                                  <w:rPr>
                                    <w:color w:val="000000" w:themeColor="text1"/>
                                    <w:sz w:val="20"/>
                                    <w:szCs w:val="16"/>
                                  </w:rPr>
                                  <w:t>: Dispositions impactant les collectivités dans PLFI 2026</w:t>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53E08F">
                  <v:shapetype id="_x0000_t202" coordsize="21600,21600" o:spt="202" path="m,l,21600r21600,l21600,xe" w14:anchorId="3718CFCA">
                    <v:stroke joinstyle="miter"/>
                    <v:path gradientshapeok="t" o:connecttype="rect"/>
                  </v:shapetype>
                  <v:shape id="Zone de texte 1" style="position:absolute;left:0;text-align:left;margin-left:0;margin-top:11.15pt;width:277.2pt;height:22.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nEFwIAADsEAAAOAAAAZHJzL2Uyb0RvYy54bWysU01v2zAMvQ/YfxB0X5xk3dAZcYosRYYB&#10;QVsgHXpWZCkWIIsapcTOfv0ofyRbt9Owi0yTFKn3Hrm4a2vLTgqDAVfw2WTKmXISSuMOBf/2vHl3&#10;y1mIwpXCglMFP6vA75Zv3ywan6s5VGBLhYyKuJA3vuBVjD7PsiArVYswAa8cBTVgLSL94iErUTRU&#10;vbbZfDr9mDWApUeQKgTy3vdBvuzqa61kfNQ6qMhsweltsTuxO/fpzJYLkR9Q+MrI4RniH15RC+Oo&#10;6aXUvYiCHdH8Uao2EiGAjhMJdQZaG6k6DIRmNn2FZlcJrzosRE7wF5rC/ysrH047/4Qstp+hJQET&#10;IY0PeSBnwtNqrNOXXsooThSeL7SpNjJJzvcf5tObGwpJis1vZ5/IpjLZ9bbHEL8oqFkyCo4kS8eW&#10;OG1D7FPHlNQsgDXlxlibflJgbZGdBEnYVCaqofhvWdalXAfpVl8webIrlGTFdt8O+PZQngk2Qj8R&#10;wcuNoUZbEeKTQBoBgkNjHR/p0BaagsNgcVYB/vibP+WTMhTlrKGRKnj4fhSoOLNfHWmW5m80cDT2&#10;o+GO9RoI4owWxsvOpAsY7WhqhPqFpn2VulBIOEm9Ch5Hcx37waZtkWq16pJoyryIW7fzMpUeCX1u&#10;XwT6QY5IQj7AOGwif6VKn9vTuzpG0KaTLBHaszjwTBPaiT5sU1qBX/+7rOvOL38CAAD//wMAUEsD&#10;BBQABgAIAAAAIQBpdBjf3QAAAAYBAAAPAAAAZHJzL2Rvd25yZXYueG1sTI/BTsMwEETvSPyDtUhc&#10;EHUIbajSOBW0cINDS9XzNl6SiHgd2U6T/j3mBMfVjN68LdaT6cSZnG8tK3iYJSCIK6tbrhUcPt/u&#10;lyB8QNbYWSYFF/KwLq+vCsy1HXlH532oRYSwz1FBE0KfS+mrhgz6me2JY/ZlncEQT1dL7XCMcNPJ&#10;NEkyabDluNBgT5uGqu/9YBRkWzeMO97cbQ+v7/jR1+nx5XJU6vZmel6BCDSFvzL86kd1KKPTyQ6s&#10;vegUxEeCgjR9BBHTxWI+B3GK6OwJZFnI//rlDwAAAP//AwBQSwECLQAUAAYACAAAACEAtoM4kv4A&#10;AADhAQAAEwAAAAAAAAAAAAAAAAAAAAAAW0NvbnRlbnRfVHlwZXNdLnhtbFBLAQItABQABgAIAAAA&#10;IQA4/SH/1gAAAJQBAAALAAAAAAAAAAAAAAAAAC8BAABfcmVscy8ucmVsc1BLAQItABQABgAIAAAA&#10;IQCRYRnEFwIAADsEAAAOAAAAAAAAAAAAAAAAAC4CAABkcnMvZTJvRG9jLnhtbFBLAQItABQABgAI&#10;AAAAIQBpdBjf3QAAAAYBAAAPAAAAAAAAAAAAAAAAAHEEAABkcnMvZG93bnJldi54bWxQSwUGAAAA&#10;AAQABADzAAAAewUAAAAA&#10;">
                    <v:textbox inset="0,0,0,0">
                      <w:txbxContent>
                        <w:p w:rsidRPr="00857136" w:rsidR="002264CD" w:rsidP="002264CD" w:rsidRDefault="002264CD" w14:paraId="61BB94EB" w14:textId="349BF309">
                          <w:pPr>
                            <w:pStyle w:val="Lgende"/>
                            <w:jc w:val="center"/>
                            <w:rPr>
                              <w:noProof/>
                              <w:color w:val="000000" w:themeColor="text1"/>
                              <w:sz w:val="20"/>
                              <w:szCs w:val="20"/>
                            </w:rPr>
                          </w:pPr>
                          <w:proofErr w:type="gramStart"/>
                          <w:r w:rsidRPr="00857136">
                            <w:rPr>
                              <w:color w:val="000000" w:themeColor="text1"/>
                              <w:sz w:val="20"/>
                              <w:szCs w:val="16"/>
                            </w:rPr>
                            <w:t>Tablea</w:t>
                          </w:r>
                          <w:r w:rsidR="000B60AA">
                            <w:rPr>
                              <w:color w:val="000000" w:themeColor="text1"/>
                              <w:sz w:val="20"/>
                              <w:szCs w:val="16"/>
                            </w:rPr>
                            <w:t>u</w:t>
                          </w:r>
                          <w:r w:rsidRPr="00857136">
                            <w:rPr>
                              <w:color w:val="000000" w:themeColor="text1"/>
                              <w:sz w:val="20"/>
                              <w:szCs w:val="16"/>
                            </w:rPr>
                            <w:t>:</w:t>
                          </w:r>
                          <w:proofErr w:type="gramEnd"/>
                          <w:r w:rsidRPr="00857136">
                            <w:rPr>
                              <w:color w:val="000000" w:themeColor="text1"/>
                              <w:sz w:val="20"/>
                              <w:szCs w:val="16"/>
                            </w:rPr>
                            <w:t xml:space="preserve"> Dispositions impactant les collectivités dans PLFI 2026</w:t>
                          </w:r>
                        </w:p>
                      </w:txbxContent>
                    </v:textbox>
                    <w10:wrap type="square" anchorx="margin"/>
                  </v:shape>
                </w:pict>
              </mc:Fallback>
            </mc:AlternateContent>
          </w:r>
        </w:p>
        <w:p w14:paraId="388077EA" w14:textId="77777777" w:rsidR="002264CD" w:rsidRPr="000D367A" w:rsidRDefault="002264CD" w:rsidP="002264CD">
          <w:pPr>
            <w:rPr>
              <w:rFonts w:cstheme="minorHAnsi"/>
            </w:rPr>
          </w:pPr>
          <w:r w:rsidRPr="000D367A">
            <w:rPr>
              <w:rFonts w:cstheme="minorHAnsi"/>
              <w:noProof/>
            </w:rPr>
            <w:drawing>
              <wp:anchor distT="0" distB="0" distL="114300" distR="114300" simplePos="0" relativeHeight="251659264" behindDoc="0" locked="0" layoutInCell="1" allowOverlap="1" wp14:anchorId="640ECD3B" wp14:editId="2D7AD9C6">
                <wp:simplePos x="0" y="0"/>
                <wp:positionH relativeFrom="margin">
                  <wp:posOffset>692785</wp:posOffset>
                </wp:positionH>
                <wp:positionV relativeFrom="paragraph">
                  <wp:posOffset>243840</wp:posOffset>
                </wp:positionV>
                <wp:extent cx="4362450" cy="3596640"/>
                <wp:effectExtent l="0" t="0" r="0" b="3810"/>
                <wp:wrapTopAndBottom/>
                <wp:docPr id="85819420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2450" cy="3596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5270C" w14:textId="77777777" w:rsidR="002264CD" w:rsidRPr="000D367A" w:rsidRDefault="002264CD" w:rsidP="002264CD">
          <w:pPr>
            <w:rPr>
              <w:rFonts w:cstheme="minorHAnsi"/>
            </w:rPr>
          </w:pPr>
        </w:p>
        <w:p w14:paraId="1637C570" w14:textId="77777777" w:rsidR="002264CD" w:rsidRPr="000D367A" w:rsidRDefault="002264CD" w:rsidP="000D367A">
          <w:pPr>
            <w:pStyle w:val="Titre2"/>
            <w:rPr>
              <w:rFonts w:asciiTheme="minorHAnsi" w:hAnsiTheme="minorHAnsi" w:cstheme="minorHAnsi"/>
            </w:rPr>
          </w:pPr>
          <w:bookmarkStart w:id="2" w:name="_Toc215762707"/>
          <w:r w:rsidRPr="000D367A">
            <w:rPr>
              <w:rFonts w:asciiTheme="minorHAnsi" w:hAnsiTheme="minorHAnsi" w:cstheme="minorHAnsi"/>
            </w:rPr>
            <w:t>l’élargissement des variables d’ajustement : une baisse demandée de 1,3 Mds€</w:t>
          </w:r>
          <w:bookmarkEnd w:id="2"/>
          <w:r w:rsidRPr="000D367A">
            <w:rPr>
              <w:rFonts w:asciiTheme="minorHAnsi" w:hAnsiTheme="minorHAnsi" w:cstheme="minorHAnsi"/>
            </w:rPr>
            <w:t xml:space="preserve"> </w:t>
          </w:r>
        </w:p>
        <w:p w14:paraId="749E1780" w14:textId="77777777" w:rsidR="002264CD" w:rsidRPr="000D367A" w:rsidRDefault="002264CD" w:rsidP="002264CD">
          <w:pPr>
            <w:pStyle w:val="TM1"/>
            <w:rPr>
              <w:rFonts w:asciiTheme="minorHAnsi" w:hAnsiTheme="minorHAnsi" w:cstheme="minorHAnsi"/>
            </w:rPr>
          </w:pPr>
          <w:r w:rsidRPr="000D367A">
            <w:rPr>
              <w:rFonts w:asciiTheme="minorHAnsi" w:hAnsiTheme="minorHAnsi" w:cstheme="minorHAnsi"/>
            </w:rPr>
            <w:t>La baisse des compensations de l’exonération des valeurs locatives des locaux industrielles</w:t>
          </w:r>
        </w:p>
        <w:p w14:paraId="6FF88415" w14:textId="77777777" w:rsidR="002264CD" w:rsidRPr="000D367A" w:rsidRDefault="002264CD" w:rsidP="002264CD">
          <w:pPr>
            <w:jc w:val="both"/>
            <w:rPr>
              <w:rFonts w:cstheme="minorHAnsi"/>
            </w:rPr>
          </w:pPr>
          <w:r w:rsidRPr="000D367A">
            <w:rPr>
              <w:rFonts w:cstheme="minorHAnsi"/>
            </w:rPr>
            <w:t>Illustrant les préconisations de la Cour des comptes, le Gouvernement propose une forte réduction des concours financiers de l’Etat aux collectivités locales (-1,3 Mds€). Cette baisse s’explique par l’élargissement du périmètre des variables en intégrant la compensation de l’exonération de la moitié des valeurs locatives des locaux industriels, pourtant créée en 2021. Une baisse de 25% représenterait une perte de 789 M€.</w:t>
          </w:r>
        </w:p>
        <w:p w14:paraId="2BEFF9C3" w14:textId="77777777" w:rsidR="002264CD" w:rsidRPr="000D367A" w:rsidRDefault="002264CD" w:rsidP="002264CD">
          <w:pPr>
            <w:pStyle w:val="TM1"/>
            <w:rPr>
              <w:rFonts w:asciiTheme="minorHAnsi" w:hAnsiTheme="minorHAnsi" w:cstheme="minorHAnsi"/>
            </w:rPr>
          </w:pPr>
          <w:r w:rsidRPr="000D367A">
            <w:rPr>
              <w:rFonts w:asciiTheme="minorHAnsi" w:hAnsiTheme="minorHAnsi" w:cstheme="minorHAnsi"/>
            </w:rPr>
            <w:t>Baisse accrue des variables d’ajustement historiques</w:t>
          </w:r>
        </w:p>
        <w:p w14:paraId="304D897A" w14:textId="77777777" w:rsidR="002264CD" w:rsidRPr="000D367A" w:rsidRDefault="002264CD" w:rsidP="002264CD">
          <w:pPr>
            <w:jc w:val="both"/>
            <w:rPr>
              <w:rFonts w:cstheme="minorHAnsi"/>
            </w:rPr>
          </w:pPr>
          <w:r w:rsidRPr="000D367A">
            <w:rPr>
              <w:rFonts w:cstheme="minorHAnsi"/>
            </w:rPr>
            <w:t>Parallèlement, les variables historiques supportent également une baisse importante : -468M€ pour la DCRTP et -50 M€ pour le FDPTP.</w:t>
          </w:r>
        </w:p>
        <w:p w14:paraId="299FECC8" w14:textId="77777777" w:rsidR="002264CD" w:rsidRPr="000D367A" w:rsidRDefault="002264CD" w:rsidP="002264CD">
          <w:pPr>
            <w:jc w:val="both"/>
            <w:rPr>
              <w:rFonts w:cstheme="minorHAnsi"/>
            </w:rPr>
          </w:pPr>
          <w:r w:rsidRPr="000D367A">
            <w:rPr>
              <w:rFonts w:cstheme="minorHAnsi"/>
            </w:rPr>
            <w:t>Si la baisse de la compensation d’exonération des VL industrielles a été supprimée par l’Assemblée nationale, il est probable que cette compensation soit figée dans le cas le plus favorable voire soit légèrement sous-indexée.</w:t>
          </w:r>
        </w:p>
        <w:p w14:paraId="774B77DD" w14:textId="4711E7F3" w:rsidR="002264CD" w:rsidRPr="000D367A" w:rsidRDefault="002264CD" w:rsidP="002264CD">
          <w:pPr>
            <w:pStyle w:val="Lgende"/>
            <w:keepNext/>
            <w:jc w:val="center"/>
            <w:rPr>
              <w:rFonts w:asciiTheme="minorHAnsi" w:hAnsiTheme="minorHAnsi" w:cstheme="minorHAnsi"/>
              <w:color w:val="auto"/>
              <w:szCs w:val="22"/>
            </w:rPr>
          </w:pPr>
          <w:bookmarkStart w:id="3" w:name="_Toc215762291"/>
          <w:r w:rsidRPr="000D367A">
            <w:rPr>
              <w:rFonts w:asciiTheme="minorHAnsi" w:hAnsiTheme="minorHAnsi" w:cstheme="minorHAnsi"/>
              <w:color w:val="auto"/>
              <w:szCs w:val="22"/>
            </w:rPr>
            <w:lastRenderedPageBreak/>
            <w:t>Tableau : Evolution du PSR PLFI 2026</w:t>
          </w:r>
          <w:bookmarkEnd w:id="3"/>
        </w:p>
        <w:p w14:paraId="254256DE" w14:textId="77777777" w:rsidR="002264CD" w:rsidRPr="000D367A" w:rsidRDefault="002264CD" w:rsidP="002264CD">
          <w:pPr>
            <w:jc w:val="center"/>
            <w:rPr>
              <w:rFonts w:cstheme="minorHAnsi"/>
            </w:rPr>
          </w:pPr>
          <w:r w:rsidRPr="000D367A">
            <w:rPr>
              <w:rFonts w:cstheme="minorHAnsi"/>
              <w:noProof/>
            </w:rPr>
            <w:drawing>
              <wp:inline distT="0" distB="0" distL="0" distR="0" wp14:anchorId="1E21C3F8" wp14:editId="1067C7AE">
                <wp:extent cx="4251366" cy="3213100"/>
                <wp:effectExtent l="0" t="0" r="0" b="6350"/>
                <wp:docPr id="135795099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5603" cy="3216302"/>
                        </a:xfrm>
                        <a:prstGeom prst="rect">
                          <a:avLst/>
                        </a:prstGeom>
                        <a:noFill/>
                        <a:ln>
                          <a:noFill/>
                        </a:ln>
                      </pic:spPr>
                    </pic:pic>
                  </a:graphicData>
                </a:graphic>
              </wp:inline>
            </w:drawing>
          </w:r>
        </w:p>
        <w:p w14:paraId="7D0B469B" w14:textId="77777777" w:rsidR="002264CD" w:rsidRPr="000D367A" w:rsidRDefault="002264CD" w:rsidP="000D367A">
          <w:pPr>
            <w:pStyle w:val="Titre2"/>
            <w:rPr>
              <w:rFonts w:asciiTheme="minorHAnsi" w:hAnsiTheme="minorHAnsi" w:cstheme="minorHAnsi"/>
            </w:rPr>
          </w:pPr>
          <w:bookmarkStart w:id="4" w:name="_Toc215762708"/>
          <w:r w:rsidRPr="000D367A">
            <w:rPr>
              <w:rFonts w:asciiTheme="minorHAnsi" w:hAnsiTheme="minorHAnsi" w:cstheme="minorHAnsi"/>
            </w:rPr>
            <w:t>Une sous-indexation de la quote-part de TVA aux collectivités</w:t>
          </w:r>
          <w:bookmarkEnd w:id="4"/>
        </w:p>
        <w:p w14:paraId="34A09ED9" w14:textId="2E84B1E8" w:rsidR="002264CD" w:rsidRPr="000D367A" w:rsidRDefault="002264CD" w:rsidP="002264CD">
          <w:pPr>
            <w:jc w:val="both"/>
            <w:rPr>
              <w:rFonts w:cstheme="minorHAnsi"/>
            </w:rPr>
          </w:pPr>
          <w:r w:rsidRPr="000D367A">
            <w:rPr>
              <w:rFonts w:cstheme="minorHAnsi"/>
            </w:rPr>
            <w:t xml:space="preserve"> La </w:t>
          </w:r>
          <w:r w:rsidR="000B60AA" w:rsidRPr="000D367A">
            <w:rPr>
              <w:rFonts w:cstheme="minorHAnsi"/>
            </w:rPr>
            <w:t>Loi de Finance</w:t>
          </w:r>
          <w:r w:rsidRPr="000D367A">
            <w:rPr>
              <w:rFonts w:cstheme="minorHAnsi"/>
            </w:rPr>
            <w:t xml:space="preserve"> pour 2025 avait déjà modifié les règles d’indexation en actant que les recettes de TVA-TH/CVAE perçues par les collectivités en (N) seraient désormais adossées à l’évolution de la TVA nationale entre (N-1) et (N-2).  En 2025, cela avait abouti à un gel des recettes.</w:t>
          </w:r>
        </w:p>
        <w:p w14:paraId="10FAAC19" w14:textId="77777777" w:rsidR="002264CD" w:rsidRPr="000D367A" w:rsidRDefault="002264CD" w:rsidP="002264CD">
          <w:pPr>
            <w:jc w:val="both"/>
            <w:rPr>
              <w:rFonts w:cstheme="minorHAnsi"/>
            </w:rPr>
          </w:pPr>
          <w:r w:rsidRPr="000D367A">
            <w:rPr>
              <w:rFonts w:cstheme="minorHAnsi"/>
            </w:rPr>
            <w:t xml:space="preserve">L’article 33 du PLFI pour 2026 prévoit un tassement des évolutions de la fraction de TVA-TH et TVA-CVAE dans la mesure où le </w:t>
          </w:r>
          <w:r w:rsidRPr="000D367A">
            <w:rPr>
              <w:rFonts w:cstheme="minorHAnsi"/>
              <w:b/>
              <w:bCs/>
            </w:rPr>
            <w:t>taux d’évolution qui serait retenu en (N) serait minoré de l’inflation</w:t>
          </w:r>
        </w:p>
        <w:p w14:paraId="1C0847C9" w14:textId="77777777" w:rsidR="002264CD" w:rsidRPr="000D367A" w:rsidRDefault="002264CD" w:rsidP="000D367A">
          <w:pPr>
            <w:pStyle w:val="Titre2"/>
            <w:rPr>
              <w:rFonts w:asciiTheme="minorHAnsi" w:hAnsiTheme="minorHAnsi" w:cstheme="minorHAnsi"/>
            </w:rPr>
          </w:pPr>
          <w:bookmarkStart w:id="5" w:name="_Toc215762709"/>
          <w:r w:rsidRPr="000D367A">
            <w:rPr>
              <w:rFonts w:asciiTheme="minorHAnsi" w:hAnsiTheme="minorHAnsi" w:cstheme="minorHAnsi"/>
            </w:rPr>
            <w:t>réduction de l’assiette du FCTVA et suppression de la contemporéanité pour certaines collectivités</w:t>
          </w:r>
          <w:bookmarkEnd w:id="5"/>
        </w:p>
        <w:p w14:paraId="04B6B088" w14:textId="77777777" w:rsidR="002264CD" w:rsidRPr="000D367A" w:rsidRDefault="002264CD" w:rsidP="002264CD">
          <w:pPr>
            <w:jc w:val="both"/>
            <w:rPr>
              <w:rFonts w:cstheme="minorHAnsi"/>
            </w:rPr>
          </w:pPr>
          <w:r w:rsidRPr="000D367A">
            <w:rPr>
              <w:rFonts w:cstheme="minorHAnsi"/>
            </w:rPr>
            <w:t>Déjà proposée puis supprimée dans le projet de loi de finances pour 2025, cette suppression est revenue dans le PLFI 2026.</w:t>
          </w:r>
        </w:p>
        <w:p w14:paraId="6F9F01F5" w14:textId="77777777" w:rsidR="002264CD" w:rsidRPr="000D367A" w:rsidRDefault="002264CD" w:rsidP="002264CD">
          <w:pPr>
            <w:jc w:val="both"/>
            <w:rPr>
              <w:rFonts w:cstheme="minorHAnsi"/>
            </w:rPr>
          </w:pPr>
          <w:r w:rsidRPr="000D367A">
            <w:rPr>
              <w:rFonts w:cstheme="minorHAnsi"/>
            </w:rPr>
            <w:t xml:space="preserve">Estimée à 800M€, cette économie impactera principalement les EPCI et EPT qui bénéficiaient de la contemporanéité du FCTVA sur leurs dépenses d’investissement. </w:t>
          </w:r>
        </w:p>
        <w:p w14:paraId="421B08D1" w14:textId="77777777" w:rsidR="002264CD" w:rsidRPr="000D367A" w:rsidRDefault="002264CD" w:rsidP="002264CD">
          <w:pPr>
            <w:jc w:val="both"/>
            <w:rPr>
              <w:rFonts w:cstheme="minorHAnsi"/>
            </w:rPr>
          </w:pPr>
          <w:r w:rsidRPr="000D367A">
            <w:rPr>
              <w:rFonts w:cstheme="minorHAnsi"/>
            </w:rPr>
            <w:t>Cette suppression risque d’être adoptée. En revanche, il est possible que le FCTVA sur les dépenses d’entretien soit maintenu à l’issue des débats parlementaires. Se posera la question de la rétroactivité de certains calculs notamment pour les communes qui perçoivent le FCTVA de fonctionnement deux après les travaux.</w:t>
          </w:r>
        </w:p>
        <w:p w14:paraId="222E1AA9" w14:textId="77777777" w:rsidR="002264CD" w:rsidRPr="000D367A" w:rsidRDefault="002264CD" w:rsidP="000D367A">
          <w:pPr>
            <w:pStyle w:val="Titre2"/>
            <w:rPr>
              <w:rFonts w:asciiTheme="minorHAnsi" w:hAnsiTheme="minorHAnsi" w:cstheme="minorHAnsi"/>
            </w:rPr>
          </w:pPr>
          <w:bookmarkStart w:id="6" w:name="_Toc215762710"/>
          <w:r w:rsidRPr="000D367A">
            <w:rPr>
              <w:rFonts w:asciiTheme="minorHAnsi" w:hAnsiTheme="minorHAnsi" w:cstheme="minorHAnsi"/>
            </w:rPr>
            <w:t>la DGF gelée en valeur : les progressions autofinancées par les collectivités</w:t>
          </w:r>
          <w:bookmarkEnd w:id="6"/>
        </w:p>
        <w:p w14:paraId="5DC18BFA" w14:textId="77777777" w:rsidR="002264CD" w:rsidRPr="000D367A" w:rsidRDefault="002264CD" w:rsidP="002264CD">
          <w:pPr>
            <w:jc w:val="both"/>
            <w:rPr>
              <w:rFonts w:cstheme="minorHAnsi"/>
            </w:rPr>
          </w:pPr>
          <w:r w:rsidRPr="000D367A">
            <w:rPr>
              <w:rFonts w:cstheme="minorHAnsi"/>
            </w:rPr>
            <w:t>En 2025, l’enveloppe nationale de DGF avait progressé de +150 millions, l’Etat ayant pris à sa charge la moitié de la progression des enveloppes nationales de DSU/DSR, financée par une hausse de la taxe sur les tabacs.</w:t>
          </w:r>
        </w:p>
        <w:p w14:paraId="6523D3B4" w14:textId="77777777" w:rsidR="002264CD" w:rsidRPr="000D367A" w:rsidRDefault="002264CD" w:rsidP="002264CD">
          <w:pPr>
            <w:jc w:val="both"/>
            <w:rPr>
              <w:rFonts w:cstheme="minorHAnsi"/>
            </w:rPr>
          </w:pPr>
          <w:r w:rsidRPr="000D367A">
            <w:rPr>
              <w:rFonts w:cstheme="minorHAnsi"/>
            </w:rPr>
            <w:lastRenderedPageBreak/>
            <w:t>Contrairement à 2025, l’enveloppe nationale de DGF serait GELEE en 2026. Dès lors, la hausse des progressions des dotations spécifiques composant la DGF (notamment DSU/DSR), devra être contrebalancée par la baisse d’autres dotations ce qui devrait se traduire par ... :</w:t>
          </w:r>
        </w:p>
        <w:p w14:paraId="2A7D9116" w14:textId="77777777" w:rsidR="002264CD" w:rsidRPr="000D367A" w:rsidRDefault="002264CD" w:rsidP="002264CD">
          <w:pPr>
            <w:pStyle w:val="Listepuces"/>
            <w:spacing w:before="0" w:after="0"/>
            <w:ind w:left="714" w:hanging="357"/>
            <w:jc w:val="both"/>
            <w:rPr>
              <w:rFonts w:asciiTheme="minorHAnsi" w:hAnsiTheme="minorHAnsi" w:cstheme="minorHAnsi"/>
              <w:lang w:bidi="fr-FR"/>
            </w:rPr>
          </w:pPr>
          <w:r w:rsidRPr="000D367A">
            <w:rPr>
              <w:rFonts w:asciiTheme="minorHAnsi" w:hAnsiTheme="minorHAnsi" w:cstheme="minorHAnsi"/>
              <w:lang w:bidi="fr-FR"/>
            </w:rPr>
            <w:t>Un « Ecrêtement » accru de la Dotation Forfaitaire des communes dont le potentiel financier par habitant de 2025 a été supérieur à 651,4 €/</w:t>
          </w:r>
          <w:proofErr w:type="spellStart"/>
          <w:r w:rsidRPr="000D367A">
            <w:rPr>
              <w:rFonts w:asciiTheme="minorHAnsi" w:hAnsiTheme="minorHAnsi" w:cstheme="minorHAnsi"/>
              <w:lang w:bidi="fr-FR"/>
            </w:rPr>
            <w:t>hab</w:t>
          </w:r>
          <w:proofErr w:type="spellEnd"/>
          <w:r w:rsidRPr="000D367A">
            <w:rPr>
              <w:rFonts w:asciiTheme="minorHAnsi" w:hAnsiTheme="minorHAnsi" w:cstheme="minorHAnsi"/>
              <w:lang w:bidi="fr-FR"/>
            </w:rPr>
            <w:t>, ... Avec une valeur de point d’écrêtement simulée par Public Avenir à 24,56 € contre seulement 11,8 € en 2025.</w:t>
          </w:r>
        </w:p>
        <w:p w14:paraId="2E33B3AA" w14:textId="77777777" w:rsidR="002264CD" w:rsidRPr="000D367A" w:rsidRDefault="002264CD" w:rsidP="002264CD">
          <w:pPr>
            <w:pStyle w:val="Listepuces"/>
            <w:spacing w:before="0" w:after="0"/>
            <w:ind w:left="714" w:hanging="357"/>
            <w:jc w:val="both"/>
            <w:rPr>
              <w:rFonts w:asciiTheme="minorHAnsi" w:hAnsiTheme="minorHAnsi" w:cstheme="minorHAnsi"/>
              <w:lang w:bidi="fr-FR"/>
            </w:rPr>
          </w:pPr>
          <w:r w:rsidRPr="000D367A">
            <w:rPr>
              <w:rFonts w:asciiTheme="minorHAnsi" w:hAnsiTheme="minorHAnsi" w:cstheme="minorHAnsi"/>
              <w:lang w:bidi="fr-FR"/>
            </w:rPr>
            <w:t>Une baisse importante de la Dotation de Compensation des EPCI : -5 % simulés pour 2026 ... contre -3,6 % en 2025.</w:t>
          </w:r>
        </w:p>
        <w:p w14:paraId="10803CDB" w14:textId="77777777" w:rsidR="002264CD" w:rsidRPr="000D367A" w:rsidRDefault="002264CD" w:rsidP="000D367A">
          <w:pPr>
            <w:pStyle w:val="Titre2"/>
            <w:rPr>
              <w:rFonts w:asciiTheme="minorHAnsi" w:hAnsiTheme="minorHAnsi" w:cstheme="minorHAnsi"/>
            </w:rPr>
          </w:pPr>
          <w:bookmarkStart w:id="7" w:name="_Toc215762711"/>
          <w:r w:rsidRPr="000D367A">
            <w:rPr>
              <w:rFonts w:asciiTheme="minorHAnsi" w:hAnsiTheme="minorHAnsi" w:cstheme="minorHAnsi"/>
            </w:rPr>
            <w:t>Le doublement du DILICO et avec des conditions de reversement plus contraignantes</w:t>
          </w:r>
          <w:bookmarkEnd w:id="7"/>
          <w:r w:rsidRPr="000D367A">
            <w:rPr>
              <w:rFonts w:asciiTheme="minorHAnsi" w:hAnsiTheme="minorHAnsi" w:cstheme="minorHAnsi"/>
            </w:rPr>
            <w:t xml:space="preserve"> </w:t>
          </w:r>
        </w:p>
        <w:p w14:paraId="22AB4499" w14:textId="77777777" w:rsidR="002264CD" w:rsidRPr="000D367A" w:rsidRDefault="002264CD" w:rsidP="002264CD">
          <w:pPr>
            <w:jc w:val="both"/>
            <w:rPr>
              <w:rFonts w:cstheme="minorHAnsi"/>
            </w:rPr>
          </w:pPr>
          <w:r w:rsidRPr="000D367A">
            <w:rPr>
              <w:rFonts w:cstheme="minorHAnsi"/>
            </w:rPr>
            <w:t>Le DILICO est reconduit mais avec de nombreux ajustements qui en transforment sa vocation. Initialement pensé comme un régime de provisions (ponction puis reversement à hauteur de 30°% sur les 3 années suivantes), ce système revêt tous les attributs d’une contribution masquée au redressement des finances de l’Etat.</w:t>
          </w:r>
        </w:p>
        <w:p w14:paraId="1F736D69" w14:textId="77777777" w:rsidR="002264CD" w:rsidRPr="000D367A" w:rsidRDefault="002264CD" w:rsidP="002264CD">
          <w:pPr>
            <w:pStyle w:val="TM1"/>
            <w:rPr>
              <w:rFonts w:asciiTheme="minorHAnsi" w:hAnsiTheme="minorHAnsi" w:cstheme="minorHAnsi"/>
            </w:rPr>
          </w:pPr>
          <w:r w:rsidRPr="000D367A">
            <w:rPr>
              <w:rFonts w:asciiTheme="minorHAnsi" w:hAnsiTheme="minorHAnsi" w:cstheme="minorHAnsi"/>
            </w:rPr>
            <w:t>Un doublement du DILICO à 2Mds € porté principalement par les communes</w:t>
          </w:r>
        </w:p>
        <w:p w14:paraId="2A392818" w14:textId="77777777" w:rsidR="002264CD" w:rsidRPr="000D367A" w:rsidRDefault="002264CD" w:rsidP="002264CD">
          <w:pPr>
            <w:jc w:val="both"/>
            <w:rPr>
              <w:rFonts w:cstheme="minorHAnsi"/>
            </w:rPr>
          </w:pPr>
          <w:r w:rsidRPr="000D367A">
            <w:rPr>
              <w:rFonts w:cstheme="minorHAnsi"/>
            </w:rPr>
            <w:t>Le doublement du DILICO est porté pour 72% par le bloc communal dont 47% par les communes et 25% par les EPCI.</w:t>
          </w:r>
        </w:p>
        <w:p w14:paraId="6DC3D71D" w14:textId="77777777" w:rsidR="002264CD" w:rsidRPr="000D367A" w:rsidRDefault="002264CD" w:rsidP="002264CD">
          <w:pPr>
            <w:jc w:val="both"/>
            <w:rPr>
              <w:rFonts w:cstheme="minorHAnsi"/>
            </w:rPr>
          </w:pPr>
          <w:r w:rsidRPr="000D367A">
            <w:rPr>
              <w:rFonts w:cstheme="minorHAnsi"/>
            </w:rPr>
            <w:t>Afin de financer cette progression, il a fallu abaisser les seuils d’éligibilité à la contribution :</w:t>
          </w:r>
        </w:p>
        <w:p w14:paraId="0D206ECC" w14:textId="77777777" w:rsidR="002264CD" w:rsidRPr="000D367A" w:rsidRDefault="002264CD" w:rsidP="002264CD">
          <w:pPr>
            <w:pStyle w:val="Listepuces"/>
            <w:spacing w:before="0" w:after="0"/>
            <w:ind w:left="714" w:hanging="357"/>
            <w:jc w:val="both"/>
            <w:rPr>
              <w:rFonts w:asciiTheme="minorHAnsi" w:hAnsiTheme="minorHAnsi" w:cstheme="minorHAnsi"/>
              <w:lang w:bidi="fr-FR"/>
            </w:rPr>
          </w:pPr>
          <w:r w:rsidRPr="000D367A">
            <w:rPr>
              <w:rFonts w:asciiTheme="minorHAnsi" w:hAnsiTheme="minorHAnsi" w:cstheme="minorHAnsi"/>
              <w:lang w:bidi="fr-FR"/>
            </w:rPr>
            <w:t xml:space="preserve">Seuil des communes </w:t>
          </w:r>
          <w:r w:rsidRPr="000D367A">
            <w:rPr>
              <w:rFonts w:asciiTheme="minorHAnsi" w:hAnsiTheme="minorHAnsi" w:cstheme="minorHAnsi"/>
              <w:lang w:bidi="fr-FR"/>
            </w:rPr>
            <w:tab/>
            <w:t xml:space="preserve">: 1 ... au lieu de 1,1 en 2025 </w:t>
          </w:r>
        </w:p>
        <w:p w14:paraId="304733F2" w14:textId="77777777" w:rsidR="002264CD" w:rsidRPr="000D367A" w:rsidRDefault="002264CD" w:rsidP="002264CD">
          <w:pPr>
            <w:pStyle w:val="Listepuces"/>
            <w:spacing w:before="0" w:after="0"/>
            <w:ind w:left="714" w:hanging="357"/>
            <w:jc w:val="both"/>
            <w:rPr>
              <w:rFonts w:asciiTheme="minorHAnsi" w:hAnsiTheme="minorHAnsi" w:cstheme="minorHAnsi"/>
              <w:lang w:bidi="fr-FR"/>
            </w:rPr>
          </w:pPr>
          <w:r w:rsidRPr="000D367A">
            <w:rPr>
              <w:rFonts w:asciiTheme="minorHAnsi" w:hAnsiTheme="minorHAnsi" w:cstheme="minorHAnsi"/>
              <w:lang w:bidi="fr-FR"/>
            </w:rPr>
            <w:t xml:space="preserve">Seuil des </w:t>
          </w:r>
          <w:proofErr w:type="spellStart"/>
          <w:r w:rsidRPr="000D367A">
            <w:rPr>
              <w:rFonts w:asciiTheme="minorHAnsi" w:hAnsiTheme="minorHAnsi" w:cstheme="minorHAnsi"/>
              <w:lang w:bidi="fr-FR"/>
            </w:rPr>
            <w:t>Epci</w:t>
          </w:r>
          <w:proofErr w:type="spellEnd"/>
          <w:r w:rsidRPr="000D367A">
            <w:rPr>
              <w:rFonts w:asciiTheme="minorHAnsi" w:hAnsiTheme="minorHAnsi" w:cstheme="minorHAnsi"/>
              <w:lang w:bidi="fr-FR"/>
            </w:rPr>
            <w:tab/>
          </w:r>
          <w:r w:rsidRPr="000D367A">
            <w:rPr>
              <w:rFonts w:asciiTheme="minorHAnsi" w:hAnsiTheme="minorHAnsi" w:cstheme="minorHAnsi"/>
              <w:lang w:bidi="fr-FR"/>
            </w:rPr>
            <w:tab/>
            <w:t>: 0,8 ... au lieu de 1,1 en 2025</w:t>
          </w:r>
        </w:p>
        <w:p w14:paraId="36A0885B" w14:textId="77777777" w:rsidR="002264CD" w:rsidRPr="000D367A" w:rsidRDefault="002264CD" w:rsidP="002264CD">
          <w:pPr>
            <w:jc w:val="both"/>
            <w:rPr>
              <w:rFonts w:cstheme="minorHAnsi"/>
            </w:rPr>
          </w:pPr>
          <w:r w:rsidRPr="000D367A">
            <w:rPr>
              <w:rFonts w:cstheme="minorHAnsi"/>
            </w:rPr>
            <w:t>En revanche, les mécanismes d’exonération sont maintenus (rangs DSU et DSR cibles, EPT).</w:t>
          </w:r>
        </w:p>
        <w:p w14:paraId="479BE2CD" w14:textId="77777777" w:rsidR="002264CD" w:rsidRPr="000D367A" w:rsidRDefault="002264CD" w:rsidP="002264CD">
          <w:pPr>
            <w:jc w:val="both"/>
            <w:rPr>
              <w:rFonts w:cstheme="minorHAnsi"/>
            </w:rPr>
          </w:pPr>
          <w:r w:rsidRPr="000D367A">
            <w:rPr>
              <w:rFonts w:cstheme="minorHAnsi"/>
            </w:rPr>
            <w:t xml:space="preserve">Les conséquences sont très diverses selon la catégorie : </w:t>
          </w:r>
        </w:p>
        <w:p w14:paraId="4258A0D9" w14:textId="77777777" w:rsidR="002264CD" w:rsidRPr="000D367A" w:rsidRDefault="002264CD" w:rsidP="002264CD">
          <w:pPr>
            <w:jc w:val="both"/>
            <w:rPr>
              <w:rFonts w:cstheme="minorHAnsi"/>
            </w:rPr>
          </w:pPr>
          <w:r w:rsidRPr="000D367A">
            <w:rPr>
              <w:rFonts w:cstheme="minorHAnsi"/>
            </w:rPr>
            <w:t xml:space="preserve">Les EPCI qui étaient déjà ponctionnés voient leur ponction augmenter de +15% (alors que l’enveloppe des EPCI double). Les nouveaux EPCI éligible acquittent en moyenne un niveau équivalent à celui des EPCI déjà ponctionnés (entre 9€ et 10€ par habitant). </w:t>
          </w:r>
        </w:p>
        <w:p w14:paraId="5D1F7E85" w14:textId="77777777" w:rsidR="002264CD" w:rsidRPr="000D367A" w:rsidRDefault="002264CD" w:rsidP="002264CD">
          <w:pPr>
            <w:jc w:val="both"/>
            <w:rPr>
              <w:rFonts w:cstheme="minorHAnsi"/>
            </w:rPr>
          </w:pPr>
          <w:r w:rsidRPr="000D367A">
            <w:rPr>
              <w:rFonts w:cstheme="minorHAnsi"/>
            </w:rPr>
            <w:t>En revanche, il y a une vraie iniquité pour les communes. Les communes qui étaient déjà ponctionnées supportent 76% de l’augmentation de l’enveloppe (35€ par habitant) alors que les nouvelles communes ponctionnées acquittent un niveau de 11€ par habitant. Cette différence s’explique par l’abaissement du seuil à 1 au lieu de 1,1.</w:t>
          </w:r>
        </w:p>
        <w:p w14:paraId="35DB2A24" w14:textId="77777777" w:rsidR="002264CD" w:rsidRPr="000D367A" w:rsidRDefault="002264CD" w:rsidP="002264CD">
          <w:pPr>
            <w:pStyle w:val="TM1"/>
            <w:rPr>
              <w:rFonts w:asciiTheme="minorHAnsi" w:hAnsiTheme="minorHAnsi" w:cstheme="minorHAnsi"/>
            </w:rPr>
          </w:pPr>
          <w:r w:rsidRPr="000D367A">
            <w:rPr>
              <w:rFonts w:asciiTheme="minorHAnsi" w:hAnsiTheme="minorHAnsi" w:cstheme="minorHAnsi"/>
            </w:rPr>
            <w:t>La fin des remboursements automatiques</w:t>
          </w:r>
        </w:p>
        <w:p w14:paraId="33EC748E" w14:textId="77777777" w:rsidR="002264CD" w:rsidRPr="000D367A" w:rsidRDefault="002264CD" w:rsidP="002264CD">
          <w:pPr>
            <w:jc w:val="both"/>
            <w:rPr>
              <w:rFonts w:cstheme="minorHAnsi"/>
            </w:rPr>
          </w:pPr>
          <w:r w:rsidRPr="000D367A">
            <w:rPr>
              <w:rFonts w:cstheme="minorHAnsi"/>
            </w:rPr>
            <w:t xml:space="preserve">D’une part, le reversement sera effectué à 5 ans au lieu de 3 ans améliorant fictivement la trésorerie de l’Etat. </w:t>
          </w:r>
        </w:p>
        <w:p w14:paraId="11403E63" w14:textId="77777777" w:rsidR="002264CD" w:rsidRPr="000D367A" w:rsidRDefault="002264CD" w:rsidP="002264CD">
          <w:pPr>
            <w:rPr>
              <w:rFonts w:cstheme="minorHAnsi"/>
            </w:rPr>
          </w:pPr>
          <w:r w:rsidRPr="000D367A">
            <w:rPr>
              <w:rFonts w:cstheme="minorHAnsi"/>
            </w:rPr>
            <w:t xml:space="preserve">D’autre part, le gouvernement soumet </w:t>
          </w:r>
          <w:r w:rsidRPr="000D367A">
            <w:rPr>
              <w:rFonts w:cstheme="minorHAnsi"/>
              <w:b/>
              <w:bCs/>
            </w:rPr>
            <w:t>les restitutions du DILICO au respect par les collectivités de cibles d’évolutions de charges</w:t>
          </w:r>
          <w:r w:rsidRPr="000D367A">
            <w:rPr>
              <w:rFonts w:cstheme="minorHAnsi"/>
            </w:rPr>
            <w:t xml:space="preserve">. </w:t>
          </w:r>
        </w:p>
        <w:p w14:paraId="68A6046D" w14:textId="77777777" w:rsidR="002264CD" w:rsidRPr="000D367A" w:rsidRDefault="002264CD" w:rsidP="002264CD">
          <w:pPr>
            <w:pStyle w:val="Listepuces"/>
            <w:spacing w:before="0" w:after="0"/>
            <w:ind w:left="714" w:hanging="357"/>
            <w:jc w:val="both"/>
            <w:rPr>
              <w:rFonts w:asciiTheme="minorHAnsi" w:hAnsiTheme="minorHAnsi" w:cstheme="minorHAnsi"/>
              <w:lang w:bidi="fr-FR"/>
            </w:rPr>
          </w:pPr>
          <w:r w:rsidRPr="000D367A">
            <w:rPr>
              <w:rFonts w:asciiTheme="minorHAnsi" w:hAnsiTheme="minorHAnsi" w:cstheme="minorHAnsi"/>
              <w:lang w:bidi="fr-FR"/>
            </w:rPr>
            <w:t xml:space="preserve">Si l’évolution des dépenses est inférieure ou égale à la croissance du PIB en valeur (exprimé en euros courants), le solde sera reversé intégralement à l’ensemble des contributeurs. </w:t>
          </w:r>
        </w:p>
        <w:p w14:paraId="4404A6BC" w14:textId="77777777" w:rsidR="002264CD" w:rsidRPr="000D367A" w:rsidRDefault="002264CD" w:rsidP="000D367A">
          <w:pPr>
            <w:pStyle w:val="Listepuces"/>
            <w:numPr>
              <w:ilvl w:val="0"/>
              <w:numId w:val="17"/>
            </w:numPr>
            <w:spacing w:before="0" w:after="0"/>
            <w:jc w:val="both"/>
            <w:rPr>
              <w:rFonts w:asciiTheme="minorHAnsi" w:hAnsiTheme="minorHAnsi" w:cstheme="minorHAnsi"/>
              <w:lang w:bidi="fr-FR"/>
            </w:rPr>
          </w:pPr>
          <w:r w:rsidRPr="000D367A">
            <w:rPr>
              <w:rFonts w:asciiTheme="minorHAnsi" w:hAnsiTheme="minorHAnsi" w:cstheme="minorHAnsi"/>
              <w:lang w:bidi="fr-FR"/>
            </w:rPr>
            <w:t>Une restitution partielle et individualisée par collectivité ponctionnée :</w:t>
          </w:r>
        </w:p>
        <w:p w14:paraId="017D4BAC" w14:textId="77777777" w:rsidR="002264CD" w:rsidRPr="000D367A" w:rsidRDefault="002264CD" w:rsidP="000D367A">
          <w:pPr>
            <w:pStyle w:val="Listepuces"/>
            <w:numPr>
              <w:ilvl w:val="0"/>
              <w:numId w:val="17"/>
            </w:numPr>
            <w:spacing w:before="0" w:after="0"/>
            <w:jc w:val="both"/>
            <w:rPr>
              <w:rFonts w:asciiTheme="minorHAnsi" w:hAnsiTheme="minorHAnsi" w:cstheme="minorHAnsi"/>
              <w:lang w:bidi="fr-FR"/>
            </w:rPr>
          </w:pPr>
          <w:r w:rsidRPr="000D367A">
            <w:rPr>
              <w:rFonts w:asciiTheme="minorHAnsi" w:hAnsiTheme="minorHAnsi" w:cstheme="minorHAnsi"/>
              <w:lang w:bidi="fr-FR"/>
            </w:rPr>
            <w:lastRenderedPageBreak/>
            <w:t>Un reversement intégral aux seules collectivités dont les dépenses auront évolué au plus comme la croissance du PIB en valeur ;</w:t>
          </w:r>
        </w:p>
        <w:p w14:paraId="3ECCC300" w14:textId="77777777" w:rsidR="002264CD" w:rsidRPr="000D367A" w:rsidRDefault="002264CD" w:rsidP="000D367A">
          <w:pPr>
            <w:pStyle w:val="Listepuces"/>
            <w:numPr>
              <w:ilvl w:val="0"/>
              <w:numId w:val="17"/>
            </w:numPr>
            <w:spacing w:before="0" w:after="0"/>
            <w:jc w:val="both"/>
            <w:rPr>
              <w:rFonts w:asciiTheme="minorHAnsi" w:hAnsiTheme="minorHAnsi" w:cstheme="minorHAnsi"/>
              <w:lang w:bidi="fr-FR"/>
            </w:rPr>
          </w:pPr>
          <w:r w:rsidRPr="000D367A">
            <w:rPr>
              <w:rFonts w:asciiTheme="minorHAnsi" w:hAnsiTheme="minorHAnsi" w:cstheme="minorHAnsi"/>
              <w:lang w:bidi="fr-FR"/>
            </w:rPr>
            <w:t>Un reversement partiel aux collectivités dont les dépenses auront évolué dans une fourchette allant de l’évolution du PIB jusqu’à cette même évolution majorée de +1 point. Plus l’évolution des dépenses se rapprochera de celle du PIB majoré de 1point, moins le reversement sera important.</w:t>
          </w:r>
        </w:p>
        <w:p w14:paraId="5061B5B6" w14:textId="77777777" w:rsidR="002264CD" w:rsidRPr="000D367A" w:rsidRDefault="002264CD" w:rsidP="000D367A">
          <w:pPr>
            <w:pStyle w:val="Listepuces"/>
            <w:numPr>
              <w:ilvl w:val="0"/>
              <w:numId w:val="17"/>
            </w:numPr>
            <w:spacing w:before="0" w:after="0"/>
            <w:jc w:val="both"/>
            <w:rPr>
              <w:rFonts w:asciiTheme="minorHAnsi" w:hAnsiTheme="minorHAnsi" w:cstheme="minorHAnsi"/>
              <w:lang w:bidi="fr-FR"/>
            </w:rPr>
          </w:pPr>
          <w:r w:rsidRPr="000D367A">
            <w:rPr>
              <w:rFonts w:asciiTheme="minorHAnsi" w:hAnsiTheme="minorHAnsi" w:cstheme="minorHAnsi"/>
              <w:lang w:bidi="fr-FR"/>
            </w:rPr>
            <w:t xml:space="preserve">Un reversement nul pour celles dont les dépenses sont supérieures à la croissance du PIB en valeur additionné d’un point, </w:t>
          </w:r>
        </w:p>
        <w:p w14:paraId="4F84DCD6" w14:textId="77777777" w:rsidR="002264CD" w:rsidRPr="000D367A" w:rsidRDefault="002264CD" w:rsidP="000D367A">
          <w:pPr>
            <w:pStyle w:val="Listepuces"/>
            <w:numPr>
              <w:ilvl w:val="0"/>
              <w:numId w:val="17"/>
            </w:numPr>
            <w:spacing w:before="0" w:after="0"/>
            <w:jc w:val="both"/>
            <w:rPr>
              <w:rFonts w:asciiTheme="minorHAnsi" w:hAnsiTheme="minorHAnsi" w:cstheme="minorHAnsi"/>
              <w:lang w:bidi="fr-FR"/>
            </w:rPr>
          </w:pPr>
          <w:r w:rsidRPr="000D367A">
            <w:rPr>
              <w:rFonts w:asciiTheme="minorHAnsi" w:hAnsiTheme="minorHAnsi" w:cstheme="minorHAnsi"/>
              <w:lang w:bidi="fr-FR"/>
            </w:rPr>
            <w:t xml:space="preserve">Si l’évolution des dépenses est supérieure à la croissance du PIB en valeur additionnée d’un point de pourcentage, aucun reversement n’est effectué à aucune collectivité. </w:t>
          </w:r>
        </w:p>
        <w:p w14:paraId="4D1CE99A" w14:textId="77777777" w:rsidR="002264CD" w:rsidRPr="000D367A" w:rsidRDefault="002264CD" w:rsidP="002264CD">
          <w:pPr>
            <w:jc w:val="both"/>
            <w:rPr>
              <w:rFonts w:cstheme="minorHAnsi"/>
            </w:rPr>
          </w:pPr>
        </w:p>
        <w:p w14:paraId="6BCA216C" w14:textId="4D2DBCBE" w:rsidR="009119D5" w:rsidRPr="000D367A" w:rsidRDefault="009119D5" w:rsidP="009119D5">
          <w:pPr>
            <w:rPr>
              <w:rFonts w:cstheme="minorHAnsi"/>
              <w:color w:val="767171" w:themeColor="background2" w:themeShade="80"/>
              <w:lang w:eastAsia="ja-JP"/>
            </w:rPr>
          </w:pPr>
          <w:r w:rsidRPr="000D367A">
            <w:rPr>
              <w:rFonts w:cstheme="minorHAnsi"/>
            </w:rPr>
            <w:t xml:space="preserve"> </w:t>
          </w:r>
        </w:p>
        <w:p w14:paraId="078DE20A" w14:textId="0E113DF9" w:rsidR="0025745A" w:rsidRPr="000D367A" w:rsidRDefault="0025745A" w:rsidP="0025745A">
          <w:pPr>
            <w:rPr>
              <w:rFonts w:cstheme="minorHAnsi"/>
              <w:lang w:bidi="fr-FR"/>
            </w:rPr>
          </w:pPr>
          <w:r w:rsidRPr="000D367A">
            <w:rPr>
              <w:rFonts w:cstheme="minorHAnsi"/>
              <w:lang w:bidi="fr-FR"/>
            </w:rPr>
            <w:br w:type="page"/>
          </w:r>
        </w:p>
      </w:sdtContent>
    </w:sdt>
    <w:p w14:paraId="736D0FE3" w14:textId="77777777" w:rsidR="00513DA8" w:rsidRPr="000D367A" w:rsidRDefault="00513DA8" w:rsidP="00513DA8">
      <w:pPr>
        <w:pStyle w:val="Paragraphedeliste"/>
        <w:spacing w:after="0" w:line="240" w:lineRule="auto"/>
        <w:jc w:val="both"/>
        <w:rPr>
          <w:rFonts w:cstheme="minorHAnsi"/>
          <w:b/>
          <w:bCs/>
          <w:u w:val="single"/>
        </w:rPr>
      </w:pPr>
    </w:p>
    <w:p w14:paraId="0835E19C" w14:textId="29D2713D" w:rsidR="00C30246" w:rsidRPr="000D367A" w:rsidRDefault="00C30246" w:rsidP="00AD2A79">
      <w:pPr>
        <w:pStyle w:val="Paragraphedeliste"/>
        <w:numPr>
          <w:ilvl w:val="0"/>
          <w:numId w:val="16"/>
        </w:numPr>
        <w:spacing w:after="0" w:line="240" w:lineRule="auto"/>
        <w:jc w:val="both"/>
        <w:rPr>
          <w:rFonts w:cstheme="minorHAnsi"/>
          <w:b/>
          <w:bCs/>
          <w:u w:val="single"/>
        </w:rPr>
      </w:pPr>
      <w:r w:rsidRPr="000D367A">
        <w:rPr>
          <w:rFonts w:cstheme="minorHAnsi"/>
          <w:b/>
          <w:bCs/>
          <w:u w:val="single"/>
        </w:rPr>
        <w:t>Orientations budgétaires du PETR du Nord de l’Yonne</w:t>
      </w:r>
    </w:p>
    <w:p w14:paraId="161CE010" w14:textId="77777777" w:rsidR="00C30246" w:rsidRPr="000D367A" w:rsidRDefault="00C30246" w:rsidP="00C30246">
      <w:pPr>
        <w:spacing w:after="0" w:line="240" w:lineRule="auto"/>
        <w:jc w:val="both"/>
        <w:rPr>
          <w:rFonts w:cstheme="minorHAnsi"/>
        </w:rPr>
      </w:pPr>
    </w:p>
    <w:p w14:paraId="6CCC76BD" w14:textId="7E7BBA33" w:rsidR="00C30246" w:rsidRPr="000D367A" w:rsidRDefault="00C30246" w:rsidP="00C30246">
      <w:pPr>
        <w:spacing w:after="0" w:line="240" w:lineRule="auto"/>
        <w:jc w:val="both"/>
        <w:rPr>
          <w:rFonts w:cstheme="minorHAnsi"/>
        </w:rPr>
      </w:pPr>
      <w:r w:rsidRPr="000D367A">
        <w:rPr>
          <w:rFonts w:cstheme="minorHAnsi"/>
        </w:rPr>
        <w:t xml:space="preserve">Le PETR du Nord de l’Yonne se trouve dans une perspective de </w:t>
      </w:r>
      <w:r w:rsidR="00AD2A79" w:rsidRPr="000D367A">
        <w:rPr>
          <w:rFonts w:cstheme="minorHAnsi"/>
        </w:rPr>
        <w:t>stabilisation</w:t>
      </w:r>
      <w:r w:rsidRPr="000D367A">
        <w:rPr>
          <w:rFonts w:cstheme="minorHAnsi"/>
        </w:rPr>
        <w:t xml:space="preserve"> </w:t>
      </w:r>
      <w:r w:rsidR="00AD2A79" w:rsidRPr="000D367A">
        <w:rPr>
          <w:rFonts w:cstheme="minorHAnsi"/>
        </w:rPr>
        <w:t xml:space="preserve">pour l’année 2026 après une montée en puissance du fait du lancement du Contrat Local de Santé </w:t>
      </w:r>
      <w:r w:rsidR="00491D7D" w:rsidRPr="000D367A">
        <w:rPr>
          <w:rFonts w:cstheme="minorHAnsi"/>
        </w:rPr>
        <w:t>ayant nécessité le recrutement d’une équipe d’animation de 3 personnes et le</w:t>
      </w:r>
      <w:r w:rsidR="00AD2A79" w:rsidRPr="000D367A">
        <w:rPr>
          <w:rFonts w:cstheme="minorHAnsi"/>
        </w:rPr>
        <w:t xml:space="preserve"> recrutement d’une ingénierie dédiée aux mobilités et l’attractivité</w:t>
      </w:r>
      <w:r w:rsidRPr="000D367A">
        <w:rPr>
          <w:rFonts w:cstheme="minorHAnsi"/>
        </w:rPr>
        <w:t xml:space="preserve">. </w:t>
      </w:r>
    </w:p>
    <w:p w14:paraId="6D6F2D29" w14:textId="77777777" w:rsidR="00491D7D" w:rsidRPr="000D367A" w:rsidRDefault="00491D7D" w:rsidP="00C30246">
      <w:pPr>
        <w:spacing w:after="0" w:line="240" w:lineRule="auto"/>
        <w:jc w:val="both"/>
        <w:rPr>
          <w:rFonts w:cstheme="minorHAnsi"/>
        </w:rPr>
      </w:pPr>
    </w:p>
    <w:p w14:paraId="319254C0" w14:textId="51929C55" w:rsidR="00A331FC" w:rsidRPr="000D367A" w:rsidRDefault="00491D7D" w:rsidP="4F48548C">
      <w:pPr>
        <w:spacing w:after="0" w:line="240" w:lineRule="auto"/>
        <w:jc w:val="both"/>
      </w:pPr>
      <w:r w:rsidRPr="4F48548C">
        <w:t xml:space="preserve">En 2025, l’augmentation des cotisations nécessaires au recrutement des effectifs précités avait été en partie amortie par la consommation d’une épargne importante </w:t>
      </w:r>
      <w:r w:rsidR="00F74CCF" w:rsidRPr="4F48548C">
        <w:t xml:space="preserve">de </w:t>
      </w:r>
      <w:r w:rsidRPr="4F48548C">
        <w:t xml:space="preserve">la section de fonctionnement. En 2026, cette épargne étant désormais consommée, une </w:t>
      </w:r>
      <w:r w:rsidRPr="4F48548C">
        <w:rPr>
          <w:b/>
          <w:bCs/>
        </w:rPr>
        <w:t xml:space="preserve">augmentation des cotisations de </w:t>
      </w:r>
      <w:r w:rsidR="007072B4">
        <w:rPr>
          <w:b/>
          <w:bCs/>
        </w:rPr>
        <w:t xml:space="preserve">40 </w:t>
      </w:r>
      <w:r w:rsidRPr="4F48548C">
        <w:rPr>
          <w:b/>
          <w:bCs/>
        </w:rPr>
        <w:t>% sera nécessaire</w:t>
      </w:r>
      <w:r w:rsidRPr="4F48548C">
        <w:t xml:space="preserve"> pour poursuivre les politiques engagées. Cette augmentation s’explique effectivement par la consommation de l’épargne et non par une augmentation des dépenses </w:t>
      </w:r>
      <w:r w:rsidR="00F74CCF" w:rsidRPr="4F48548C">
        <w:t>lesquelles</w:t>
      </w:r>
      <w:r w:rsidRPr="4F48548C">
        <w:t xml:space="preserve"> demeur</w:t>
      </w:r>
      <w:r w:rsidR="00F74CCF" w:rsidRPr="4F48548C">
        <w:t>an</w:t>
      </w:r>
      <w:r w:rsidRPr="4F48548C">
        <w:t>t quasiment inchangées : 213 9</w:t>
      </w:r>
      <w:r w:rsidR="00D01587" w:rsidRPr="4F48548C">
        <w:t>13</w:t>
      </w:r>
      <w:r w:rsidR="00A331FC" w:rsidRPr="4F48548C">
        <w:t xml:space="preserve">, </w:t>
      </w:r>
      <w:r w:rsidRPr="4F48548C">
        <w:t xml:space="preserve">36 </w:t>
      </w:r>
      <w:r w:rsidR="00A331FC" w:rsidRPr="4F48548C">
        <w:t>euros</w:t>
      </w:r>
      <w:r w:rsidRPr="4F48548C">
        <w:t xml:space="preserve"> en 2025 contre </w:t>
      </w:r>
      <w:r w:rsidR="00A331FC" w:rsidRPr="4F48548C">
        <w:t>21</w:t>
      </w:r>
      <w:r w:rsidR="003E3985">
        <w:t>8</w:t>
      </w:r>
      <w:r w:rsidR="00A331FC" w:rsidRPr="4F48548C">
        <w:t xml:space="preserve"> </w:t>
      </w:r>
      <w:r w:rsidR="00874F6C">
        <w:t>0</w:t>
      </w:r>
      <w:r w:rsidR="00B76BCC">
        <w:t>65</w:t>
      </w:r>
      <w:r w:rsidR="00A331FC" w:rsidRPr="4F48548C">
        <w:t xml:space="preserve"> euros prévus pour 2026. </w:t>
      </w:r>
      <w:r w:rsidR="00F74CCF" w:rsidRPr="4F48548C">
        <w:t>L</w:t>
      </w:r>
      <w:r w:rsidR="00A331FC" w:rsidRPr="4F48548C">
        <w:t>’augmentation du budget s’explique dans une moindre mesure par l’augmentation du budget consacré au programme d’actions du Contrat Local de Santé passant de 31 000 euros prévus pour le budget 2025 à 44 900 euros pour le budget 2026</w:t>
      </w:r>
      <w:r w:rsidR="000D367A" w:rsidRPr="4F48548C">
        <w:t xml:space="preserve"> (soit + 44,8 %)</w:t>
      </w:r>
      <w:r w:rsidR="00A331FC" w:rsidRPr="4F48548C">
        <w:t xml:space="preserve">. </w:t>
      </w:r>
    </w:p>
    <w:p w14:paraId="2E48A554" w14:textId="77777777" w:rsidR="00A331FC" w:rsidRPr="000D367A" w:rsidRDefault="00A331FC" w:rsidP="00C30246">
      <w:pPr>
        <w:spacing w:after="0" w:line="240" w:lineRule="auto"/>
        <w:jc w:val="both"/>
        <w:rPr>
          <w:rFonts w:cstheme="minorHAnsi"/>
        </w:rPr>
      </w:pPr>
    </w:p>
    <w:p w14:paraId="7CFF5F64" w14:textId="412C6B83" w:rsidR="00084DAC" w:rsidRDefault="00A331FC" w:rsidP="00A331FC">
      <w:pPr>
        <w:spacing w:after="0" w:line="240" w:lineRule="auto"/>
        <w:jc w:val="both"/>
        <w:rPr>
          <w:rFonts w:cstheme="minorHAnsi"/>
        </w:rPr>
      </w:pPr>
      <w:r w:rsidRPr="000D367A">
        <w:rPr>
          <w:rFonts w:cstheme="minorHAnsi"/>
        </w:rPr>
        <w:t>En 2026, il est prévu de poursuivre les politiques engagées : le Contrat Local de Santé</w:t>
      </w:r>
      <w:r w:rsidR="006A1F9B" w:rsidRPr="000D367A">
        <w:rPr>
          <w:rFonts w:cstheme="minorHAnsi"/>
        </w:rPr>
        <w:t xml:space="preserve">, la participation à l’association </w:t>
      </w:r>
      <w:proofErr w:type="spellStart"/>
      <w:r w:rsidR="006A1F9B" w:rsidRPr="000D367A">
        <w:rPr>
          <w:rFonts w:cstheme="minorHAnsi"/>
        </w:rPr>
        <w:t>AgriParis</w:t>
      </w:r>
      <w:proofErr w:type="spellEnd"/>
      <w:r w:rsidR="006A1F9B" w:rsidRPr="000D367A">
        <w:rPr>
          <w:rFonts w:cstheme="minorHAnsi"/>
        </w:rPr>
        <w:t xml:space="preserve"> Seine, l’animation du contrat Territoires en Action</w:t>
      </w:r>
      <w:r w:rsidR="00577437" w:rsidRPr="000D367A">
        <w:rPr>
          <w:rFonts w:cstheme="minorHAnsi"/>
        </w:rPr>
        <w:t xml:space="preserve"> et du contrat </w:t>
      </w:r>
      <w:proofErr w:type="spellStart"/>
      <w:r w:rsidR="00577437" w:rsidRPr="000D367A">
        <w:rPr>
          <w:rFonts w:cstheme="minorHAnsi"/>
        </w:rPr>
        <w:t>fluvestre</w:t>
      </w:r>
      <w:proofErr w:type="spellEnd"/>
      <w:r w:rsidR="00577437" w:rsidRPr="000D367A">
        <w:rPr>
          <w:rFonts w:cstheme="minorHAnsi"/>
        </w:rPr>
        <w:t xml:space="preserve"> ainsi que la réalisation du Schéma Directeur Cyclable engagé en 2025. Compte-tenu des élections municipales de mars et de la désignation des nouveaux élus du PETR, le remplacement du chargé de mission attractivité et mobilité a été différé après les élections suivant les orientations décidées après le renouvellement des élus. Ceci explique ainsi que le budget dédié à cette ingénierie soit réduit de moitié </w:t>
      </w:r>
      <w:r w:rsidR="00F74CCF" w:rsidRPr="000D367A">
        <w:rPr>
          <w:rFonts w:cstheme="minorHAnsi"/>
        </w:rPr>
        <w:t>étant</w:t>
      </w:r>
      <w:r w:rsidR="00577437" w:rsidRPr="000D367A">
        <w:rPr>
          <w:rFonts w:cstheme="minorHAnsi"/>
        </w:rPr>
        <w:t xml:space="preserve"> prévu pour une demi-année. </w:t>
      </w:r>
    </w:p>
    <w:p w14:paraId="60254DC4" w14:textId="77777777" w:rsidR="00084DAC" w:rsidRDefault="00084DAC">
      <w:pPr>
        <w:spacing w:line="259" w:lineRule="auto"/>
        <w:rPr>
          <w:rFonts w:cstheme="minorHAnsi"/>
        </w:rPr>
      </w:pPr>
      <w:r>
        <w:rPr>
          <w:rFonts w:cstheme="minorHAnsi"/>
        </w:rPr>
        <w:br w:type="page"/>
      </w:r>
    </w:p>
    <w:tbl>
      <w:tblPr>
        <w:tblW w:w="11168" w:type="dxa"/>
        <w:tblInd w:w="-724" w:type="dxa"/>
        <w:tblLayout w:type="fixed"/>
        <w:tblCellMar>
          <w:top w:w="15" w:type="dxa"/>
          <w:left w:w="15" w:type="dxa"/>
          <w:right w:w="15" w:type="dxa"/>
        </w:tblCellMar>
        <w:tblLook w:val="04A0" w:firstRow="1" w:lastRow="0" w:firstColumn="1" w:lastColumn="0" w:noHBand="0" w:noVBand="1"/>
      </w:tblPr>
      <w:tblGrid>
        <w:gridCol w:w="3030"/>
        <w:gridCol w:w="1505"/>
        <w:gridCol w:w="2044"/>
        <w:gridCol w:w="1610"/>
        <w:gridCol w:w="627"/>
        <w:gridCol w:w="627"/>
        <w:gridCol w:w="1651"/>
        <w:gridCol w:w="38"/>
        <w:gridCol w:w="18"/>
        <w:gridCol w:w="18"/>
      </w:tblGrid>
      <w:tr w:rsidR="00617EB4" w14:paraId="44834410" w14:textId="77777777" w:rsidTr="00993B25">
        <w:trPr>
          <w:gridAfter w:val="3"/>
          <w:wAfter w:w="72" w:type="dxa"/>
          <w:trHeight w:val="432"/>
        </w:trPr>
        <w:tc>
          <w:tcPr>
            <w:tcW w:w="8191" w:type="dxa"/>
            <w:gridSpan w:val="4"/>
            <w:vMerge w:val="restart"/>
            <w:tcBorders>
              <w:top w:val="single" w:sz="12" w:space="0" w:color="auto"/>
              <w:left w:val="single" w:sz="12" w:space="0" w:color="auto"/>
              <w:bottom w:val="single" w:sz="12" w:space="0" w:color="000000"/>
              <w:right w:val="single" w:sz="12" w:space="0" w:color="000000"/>
            </w:tcBorders>
            <w:shd w:val="clear" w:color="000000" w:fill="D0CECE"/>
            <w:vAlign w:val="center"/>
            <w:hideMark/>
          </w:tcPr>
          <w:p w14:paraId="52631260" w14:textId="77777777" w:rsidR="00617EB4" w:rsidRDefault="00617EB4">
            <w:pPr>
              <w:spacing w:line="240" w:lineRule="auto"/>
              <w:jc w:val="center"/>
              <w:rPr>
                <w:rFonts w:ascii="Aptos" w:eastAsia="Times New Roman" w:hAnsi="Aptos"/>
                <w:color w:val="000000"/>
              </w:rPr>
            </w:pPr>
            <w:r>
              <w:rPr>
                <w:rFonts w:ascii="Aptos" w:hAnsi="Aptos"/>
                <w:color w:val="000000"/>
              </w:rPr>
              <w:lastRenderedPageBreak/>
              <w:t>Tableau récapitulatif des dépenses et des recettes</w:t>
            </w:r>
          </w:p>
        </w:tc>
        <w:tc>
          <w:tcPr>
            <w:tcW w:w="2905" w:type="dxa"/>
            <w:gridSpan w:val="3"/>
            <w:vMerge w:val="restart"/>
            <w:tcBorders>
              <w:top w:val="single" w:sz="12" w:space="0" w:color="auto"/>
              <w:left w:val="single" w:sz="12" w:space="0" w:color="auto"/>
              <w:bottom w:val="single" w:sz="12" w:space="0" w:color="auto"/>
              <w:right w:val="single" w:sz="12" w:space="0" w:color="auto"/>
            </w:tcBorders>
            <w:shd w:val="clear" w:color="000000" w:fill="FFC7CE"/>
            <w:vAlign w:val="center"/>
            <w:hideMark/>
          </w:tcPr>
          <w:p w14:paraId="3DC4DDF1" w14:textId="77777777" w:rsidR="00617EB4" w:rsidRDefault="00617EB4">
            <w:pPr>
              <w:jc w:val="center"/>
              <w:rPr>
                <w:rFonts w:ascii="Aptos Narrow" w:hAnsi="Aptos Narrow"/>
                <w:color w:val="9C0006"/>
              </w:rPr>
            </w:pPr>
            <w:r>
              <w:rPr>
                <w:rFonts w:ascii="Aptos Narrow" w:hAnsi="Aptos Narrow"/>
                <w:color w:val="9C0006"/>
              </w:rPr>
              <w:t>Reste à charge pour le PETR</w:t>
            </w:r>
          </w:p>
        </w:tc>
      </w:tr>
      <w:tr w:rsidR="00993B25" w14:paraId="41B31529" w14:textId="77777777" w:rsidTr="00993B25">
        <w:trPr>
          <w:trHeight w:val="406"/>
        </w:trPr>
        <w:tc>
          <w:tcPr>
            <w:tcW w:w="8191" w:type="dxa"/>
            <w:gridSpan w:val="4"/>
            <w:vMerge/>
            <w:tcBorders>
              <w:top w:val="single" w:sz="12" w:space="0" w:color="auto"/>
              <w:left w:val="single" w:sz="12" w:space="0" w:color="auto"/>
              <w:bottom w:val="single" w:sz="12" w:space="0" w:color="000000"/>
              <w:right w:val="single" w:sz="12" w:space="0" w:color="000000"/>
            </w:tcBorders>
            <w:vAlign w:val="center"/>
            <w:hideMark/>
          </w:tcPr>
          <w:p w14:paraId="7AD6E7A9" w14:textId="77777777" w:rsidR="00617EB4" w:rsidRDefault="00617EB4">
            <w:pPr>
              <w:rPr>
                <w:rFonts w:ascii="Aptos" w:hAnsi="Aptos"/>
                <w:color w:val="000000"/>
                <w:sz w:val="24"/>
                <w:szCs w:val="24"/>
              </w:rPr>
            </w:pPr>
          </w:p>
        </w:tc>
        <w:tc>
          <w:tcPr>
            <w:tcW w:w="2905" w:type="dxa"/>
            <w:gridSpan w:val="3"/>
            <w:vMerge/>
            <w:tcBorders>
              <w:top w:val="single" w:sz="12" w:space="0" w:color="auto"/>
              <w:left w:val="single" w:sz="12" w:space="0" w:color="auto"/>
              <w:bottom w:val="single" w:sz="12" w:space="0" w:color="auto"/>
              <w:right w:val="single" w:sz="12" w:space="0" w:color="auto"/>
            </w:tcBorders>
            <w:vAlign w:val="center"/>
            <w:hideMark/>
          </w:tcPr>
          <w:p w14:paraId="21823409" w14:textId="77777777" w:rsidR="00617EB4" w:rsidRDefault="00617EB4">
            <w:pPr>
              <w:rPr>
                <w:rFonts w:ascii="Aptos Narrow" w:hAnsi="Aptos Narrow"/>
                <w:color w:val="9C0006"/>
              </w:rPr>
            </w:pPr>
          </w:p>
        </w:tc>
        <w:tc>
          <w:tcPr>
            <w:tcW w:w="72" w:type="dxa"/>
            <w:gridSpan w:val="3"/>
            <w:tcBorders>
              <w:top w:val="nil"/>
              <w:left w:val="nil"/>
              <w:bottom w:val="nil"/>
              <w:right w:val="nil"/>
            </w:tcBorders>
            <w:noWrap/>
            <w:vAlign w:val="bottom"/>
            <w:hideMark/>
          </w:tcPr>
          <w:p w14:paraId="1B12F7A4" w14:textId="77777777" w:rsidR="00617EB4" w:rsidRDefault="00617EB4">
            <w:pPr>
              <w:jc w:val="center"/>
              <w:rPr>
                <w:rFonts w:ascii="Aptos Narrow" w:hAnsi="Aptos Narrow"/>
                <w:color w:val="9C0006"/>
              </w:rPr>
            </w:pPr>
          </w:p>
        </w:tc>
      </w:tr>
      <w:tr w:rsidR="00993B25" w14:paraId="7C432538" w14:textId="77777777" w:rsidTr="00993B25">
        <w:trPr>
          <w:trHeight w:val="406"/>
        </w:trPr>
        <w:tc>
          <w:tcPr>
            <w:tcW w:w="8191" w:type="dxa"/>
            <w:gridSpan w:val="4"/>
            <w:vMerge/>
            <w:tcBorders>
              <w:top w:val="single" w:sz="12" w:space="0" w:color="auto"/>
              <w:left w:val="single" w:sz="12" w:space="0" w:color="auto"/>
              <w:bottom w:val="single" w:sz="12" w:space="0" w:color="000000"/>
              <w:right w:val="single" w:sz="12" w:space="0" w:color="000000"/>
            </w:tcBorders>
            <w:vAlign w:val="center"/>
            <w:hideMark/>
          </w:tcPr>
          <w:p w14:paraId="0E3FA3C8" w14:textId="77777777" w:rsidR="00617EB4" w:rsidRDefault="00617EB4">
            <w:pPr>
              <w:rPr>
                <w:rFonts w:ascii="Aptos" w:hAnsi="Aptos"/>
                <w:color w:val="000000"/>
                <w:sz w:val="24"/>
                <w:szCs w:val="24"/>
              </w:rPr>
            </w:pPr>
          </w:p>
        </w:tc>
        <w:tc>
          <w:tcPr>
            <w:tcW w:w="2905" w:type="dxa"/>
            <w:gridSpan w:val="3"/>
            <w:vMerge/>
            <w:tcBorders>
              <w:top w:val="single" w:sz="12" w:space="0" w:color="auto"/>
              <w:left w:val="single" w:sz="12" w:space="0" w:color="auto"/>
              <w:bottom w:val="single" w:sz="12" w:space="0" w:color="auto"/>
              <w:right w:val="single" w:sz="12" w:space="0" w:color="auto"/>
            </w:tcBorders>
            <w:vAlign w:val="center"/>
            <w:hideMark/>
          </w:tcPr>
          <w:p w14:paraId="3A7AF9FC" w14:textId="77777777" w:rsidR="00617EB4" w:rsidRDefault="00617EB4">
            <w:pPr>
              <w:rPr>
                <w:rFonts w:ascii="Aptos Narrow" w:hAnsi="Aptos Narrow"/>
                <w:color w:val="9C0006"/>
              </w:rPr>
            </w:pPr>
          </w:p>
        </w:tc>
        <w:tc>
          <w:tcPr>
            <w:tcW w:w="72" w:type="dxa"/>
            <w:gridSpan w:val="3"/>
            <w:tcBorders>
              <w:top w:val="nil"/>
              <w:left w:val="nil"/>
              <w:bottom w:val="nil"/>
              <w:right w:val="nil"/>
            </w:tcBorders>
            <w:noWrap/>
            <w:vAlign w:val="bottom"/>
            <w:hideMark/>
          </w:tcPr>
          <w:p w14:paraId="1AD51995" w14:textId="77777777" w:rsidR="00617EB4" w:rsidRDefault="00617EB4">
            <w:pPr>
              <w:rPr>
                <w:sz w:val="20"/>
                <w:szCs w:val="20"/>
              </w:rPr>
            </w:pPr>
          </w:p>
        </w:tc>
      </w:tr>
      <w:tr w:rsidR="00617EB4" w14:paraId="0615A2F3" w14:textId="77777777" w:rsidTr="00993B25">
        <w:trPr>
          <w:gridAfter w:val="1"/>
          <w:wAfter w:w="18" w:type="dxa"/>
          <w:trHeight w:val="406"/>
        </w:trPr>
        <w:tc>
          <w:tcPr>
            <w:tcW w:w="4537" w:type="dxa"/>
            <w:gridSpan w:val="2"/>
            <w:tcBorders>
              <w:top w:val="single" w:sz="12" w:space="0" w:color="auto"/>
              <w:left w:val="single" w:sz="12" w:space="0" w:color="auto"/>
              <w:bottom w:val="single" w:sz="12" w:space="0" w:color="auto"/>
              <w:right w:val="single" w:sz="12" w:space="0" w:color="auto"/>
            </w:tcBorders>
            <w:shd w:val="clear" w:color="000000" w:fill="ED7D31"/>
            <w:vAlign w:val="center"/>
            <w:hideMark/>
          </w:tcPr>
          <w:p w14:paraId="36F7C91C" w14:textId="77777777" w:rsidR="00617EB4" w:rsidRDefault="00617EB4">
            <w:pPr>
              <w:jc w:val="center"/>
              <w:rPr>
                <w:rFonts w:ascii="Calibri" w:hAnsi="Calibri" w:cs="Calibri"/>
                <w:color w:val="FFFFFF"/>
              </w:rPr>
            </w:pPr>
            <w:r>
              <w:rPr>
                <w:rFonts w:ascii="Calibri" w:hAnsi="Calibri" w:cs="Calibri"/>
                <w:color w:val="FFFFFF"/>
              </w:rPr>
              <w:t xml:space="preserve"> Dépenses </w:t>
            </w:r>
          </w:p>
        </w:tc>
        <w:tc>
          <w:tcPr>
            <w:tcW w:w="3652" w:type="dxa"/>
            <w:gridSpan w:val="2"/>
            <w:tcBorders>
              <w:top w:val="single" w:sz="12" w:space="0" w:color="auto"/>
              <w:left w:val="nil"/>
              <w:bottom w:val="single" w:sz="12" w:space="0" w:color="auto"/>
              <w:right w:val="single" w:sz="12" w:space="0" w:color="auto"/>
            </w:tcBorders>
            <w:shd w:val="clear" w:color="000000" w:fill="70AD47"/>
            <w:vAlign w:val="center"/>
            <w:hideMark/>
          </w:tcPr>
          <w:p w14:paraId="5AEB0313" w14:textId="77777777" w:rsidR="00617EB4" w:rsidRDefault="00617EB4">
            <w:pPr>
              <w:jc w:val="center"/>
              <w:rPr>
                <w:rFonts w:ascii="Calibri" w:hAnsi="Calibri" w:cs="Calibri"/>
                <w:color w:val="FFFFFF"/>
              </w:rPr>
            </w:pPr>
            <w:r>
              <w:rPr>
                <w:rFonts w:ascii="Calibri" w:hAnsi="Calibri" w:cs="Calibri"/>
                <w:color w:val="FFFFFF"/>
              </w:rPr>
              <w:t>Recettes</w:t>
            </w:r>
          </w:p>
        </w:tc>
        <w:tc>
          <w:tcPr>
            <w:tcW w:w="2905" w:type="dxa"/>
            <w:gridSpan w:val="3"/>
            <w:vMerge/>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hideMark/>
          </w:tcPr>
          <w:p w14:paraId="04E1C9D2"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65082F90" w14:textId="77777777" w:rsidR="00617EB4" w:rsidRDefault="00617EB4">
            <w:pPr>
              <w:rPr>
                <w:sz w:val="20"/>
                <w:szCs w:val="20"/>
              </w:rPr>
            </w:pPr>
          </w:p>
        </w:tc>
      </w:tr>
      <w:tr w:rsidR="00617EB4" w14:paraId="4C94DBF4" w14:textId="77777777" w:rsidTr="00993B25">
        <w:trPr>
          <w:gridAfter w:val="2"/>
          <w:wAfter w:w="34" w:type="dxa"/>
          <w:trHeight w:val="406"/>
        </w:trPr>
        <w:tc>
          <w:tcPr>
            <w:tcW w:w="8191" w:type="dxa"/>
            <w:gridSpan w:val="4"/>
            <w:tcBorders>
              <w:top w:val="single" w:sz="12" w:space="0" w:color="auto"/>
              <w:left w:val="single" w:sz="12" w:space="0" w:color="auto"/>
              <w:bottom w:val="single" w:sz="12" w:space="0" w:color="auto"/>
              <w:right w:val="single" w:sz="12" w:space="0" w:color="auto"/>
            </w:tcBorders>
            <w:shd w:val="clear" w:color="000000" w:fill="9BC2E6"/>
            <w:vAlign w:val="center"/>
            <w:hideMark/>
          </w:tcPr>
          <w:p w14:paraId="0718EC85" w14:textId="77777777" w:rsidR="00617EB4" w:rsidRDefault="00617EB4">
            <w:pPr>
              <w:jc w:val="center"/>
              <w:rPr>
                <w:rFonts w:ascii="Calibri" w:hAnsi="Calibri" w:cs="Calibri"/>
                <w:color w:val="000000"/>
                <w:sz w:val="36"/>
                <w:szCs w:val="36"/>
              </w:rPr>
            </w:pPr>
            <w:r>
              <w:rPr>
                <w:rFonts w:ascii="Calibri" w:hAnsi="Calibri" w:cs="Calibri"/>
                <w:color w:val="000000"/>
                <w:sz w:val="36"/>
                <w:szCs w:val="36"/>
              </w:rPr>
              <w:t>1. Ressources humaines</w:t>
            </w:r>
          </w:p>
        </w:tc>
        <w:tc>
          <w:tcPr>
            <w:tcW w:w="2905" w:type="dxa"/>
            <w:gridSpan w:val="3"/>
            <w:vMerge/>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hideMark/>
          </w:tcPr>
          <w:p w14:paraId="62364C2F" w14:textId="77777777" w:rsidR="00617EB4" w:rsidRDefault="00617EB4">
            <w:pPr>
              <w:rPr>
                <w:rFonts w:ascii="Aptos Narrow" w:hAnsi="Aptos Narrow"/>
                <w:color w:val="9C0006"/>
              </w:rPr>
            </w:pPr>
          </w:p>
        </w:tc>
        <w:tc>
          <w:tcPr>
            <w:tcW w:w="38" w:type="dxa"/>
            <w:tcMar>
              <w:top w:w="0" w:type="dxa"/>
              <w:left w:w="0" w:type="dxa"/>
              <w:bottom w:w="0" w:type="dxa"/>
              <w:right w:w="0" w:type="dxa"/>
            </w:tcMar>
            <w:vAlign w:val="center"/>
            <w:hideMark/>
          </w:tcPr>
          <w:p w14:paraId="581584CF" w14:textId="77777777" w:rsidR="00617EB4" w:rsidRDefault="00617EB4">
            <w:pPr>
              <w:rPr>
                <w:sz w:val="20"/>
                <w:szCs w:val="20"/>
              </w:rPr>
            </w:pPr>
          </w:p>
        </w:tc>
      </w:tr>
      <w:tr w:rsidR="00617EB4" w14:paraId="0BAC72EE" w14:textId="77777777" w:rsidTr="00993B25">
        <w:trPr>
          <w:gridAfter w:val="1"/>
          <w:wAfter w:w="16" w:type="dxa"/>
          <w:trHeight w:val="406"/>
        </w:trPr>
        <w:tc>
          <w:tcPr>
            <w:tcW w:w="11096" w:type="dxa"/>
            <w:gridSpan w:val="7"/>
            <w:tcBorders>
              <w:top w:val="single" w:sz="12" w:space="0" w:color="auto"/>
              <w:left w:val="single" w:sz="12" w:space="0" w:color="auto"/>
              <w:bottom w:val="single" w:sz="12" w:space="0" w:color="auto"/>
              <w:right w:val="single" w:sz="12" w:space="0" w:color="auto"/>
            </w:tcBorders>
            <w:shd w:val="clear" w:color="000000" w:fill="9BC2E6"/>
            <w:vAlign w:val="center"/>
            <w:hideMark/>
          </w:tcPr>
          <w:p w14:paraId="05C708EB" w14:textId="77777777" w:rsidR="00617EB4" w:rsidRDefault="00617EB4">
            <w:pPr>
              <w:jc w:val="center"/>
              <w:rPr>
                <w:rFonts w:ascii="Calibri" w:hAnsi="Calibri" w:cs="Calibri"/>
                <w:color w:val="000000"/>
                <w:sz w:val="36"/>
                <w:szCs w:val="36"/>
              </w:rPr>
            </w:pPr>
            <w:r>
              <w:rPr>
                <w:rFonts w:ascii="Calibri" w:hAnsi="Calibri" w:cs="Calibri"/>
                <w:color w:val="000000"/>
                <w:sz w:val="36"/>
                <w:szCs w:val="36"/>
              </w:rPr>
              <w:t>Postes portés par la Communauté de communes du Jovinien</w:t>
            </w:r>
          </w:p>
        </w:tc>
        <w:tc>
          <w:tcPr>
            <w:tcW w:w="56" w:type="dxa"/>
            <w:gridSpan w:val="2"/>
            <w:tcMar>
              <w:top w:w="0" w:type="dxa"/>
              <w:left w:w="0" w:type="dxa"/>
              <w:bottom w:w="0" w:type="dxa"/>
              <w:right w:w="0" w:type="dxa"/>
            </w:tcMar>
            <w:vAlign w:val="center"/>
            <w:hideMark/>
          </w:tcPr>
          <w:p w14:paraId="3FADDAB7" w14:textId="77777777" w:rsidR="00617EB4" w:rsidRDefault="00617EB4">
            <w:pPr>
              <w:rPr>
                <w:sz w:val="20"/>
                <w:szCs w:val="20"/>
              </w:rPr>
            </w:pPr>
          </w:p>
        </w:tc>
      </w:tr>
      <w:tr w:rsidR="00617EB4" w14:paraId="3D6F8F30"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71C1BCC5" w14:textId="77777777" w:rsidR="00617EB4" w:rsidRDefault="00617EB4">
            <w:pPr>
              <w:jc w:val="center"/>
              <w:rPr>
                <w:rFonts w:ascii="Aptos" w:hAnsi="Aptos" w:cs="Times New Roman"/>
                <w:color w:val="000000"/>
                <w:sz w:val="24"/>
                <w:szCs w:val="24"/>
              </w:rPr>
            </w:pPr>
            <w:r>
              <w:rPr>
                <w:rFonts w:ascii="Aptos" w:hAnsi="Aptos"/>
                <w:color w:val="000000"/>
              </w:rPr>
              <w:t>1 ETP-Chef de Projet Transition</w:t>
            </w:r>
          </w:p>
        </w:tc>
        <w:tc>
          <w:tcPr>
            <w:tcW w:w="1505" w:type="dxa"/>
            <w:tcBorders>
              <w:top w:val="nil"/>
              <w:left w:val="nil"/>
              <w:bottom w:val="single" w:sz="12" w:space="0" w:color="auto"/>
              <w:right w:val="single" w:sz="12" w:space="0" w:color="auto"/>
            </w:tcBorders>
            <w:vAlign w:val="center"/>
            <w:hideMark/>
          </w:tcPr>
          <w:p w14:paraId="3073C721" w14:textId="77777777" w:rsidR="00617EB4" w:rsidRDefault="00617EB4">
            <w:pPr>
              <w:jc w:val="center"/>
              <w:rPr>
                <w:rFonts w:ascii="Calibri" w:hAnsi="Calibri" w:cs="Calibri"/>
                <w:color w:val="000000"/>
              </w:rPr>
            </w:pPr>
            <w:r>
              <w:rPr>
                <w:rFonts w:ascii="Calibri" w:hAnsi="Calibri" w:cs="Calibri"/>
                <w:color w:val="000000"/>
              </w:rPr>
              <w:t>45 000,00 €</w:t>
            </w:r>
          </w:p>
        </w:tc>
        <w:tc>
          <w:tcPr>
            <w:tcW w:w="2044" w:type="dxa"/>
            <w:tcBorders>
              <w:top w:val="nil"/>
              <w:left w:val="nil"/>
              <w:bottom w:val="single" w:sz="12" w:space="0" w:color="auto"/>
              <w:right w:val="single" w:sz="12" w:space="0" w:color="auto"/>
            </w:tcBorders>
            <w:vAlign w:val="center"/>
            <w:hideMark/>
          </w:tcPr>
          <w:p w14:paraId="64AB16AD" w14:textId="77777777" w:rsidR="00617EB4" w:rsidRDefault="00617EB4">
            <w:pPr>
              <w:jc w:val="center"/>
              <w:rPr>
                <w:rFonts w:ascii="Calibri" w:hAnsi="Calibri" w:cs="Calibri"/>
                <w:color w:val="000000"/>
              </w:rPr>
            </w:pPr>
            <w:r>
              <w:rPr>
                <w:rFonts w:ascii="Calibri" w:hAnsi="Calibri" w:cs="Calibri"/>
                <w:color w:val="000000"/>
              </w:rPr>
              <w:t xml:space="preserve">Subvention régionale </w:t>
            </w:r>
          </w:p>
        </w:tc>
        <w:tc>
          <w:tcPr>
            <w:tcW w:w="1608" w:type="dxa"/>
            <w:tcBorders>
              <w:top w:val="nil"/>
              <w:left w:val="nil"/>
              <w:bottom w:val="single" w:sz="12" w:space="0" w:color="auto"/>
              <w:right w:val="single" w:sz="12" w:space="0" w:color="auto"/>
            </w:tcBorders>
            <w:vAlign w:val="center"/>
            <w:hideMark/>
          </w:tcPr>
          <w:p w14:paraId="1291D4F3" w14:textId="77777777" w:rsidR="00617EB4" w:rsidRDefault="00617EB4">
            <w:pPr>
              <w:jc w:val="center"/>
              <w:rPr>
                <w:rFonts w:ascii="Calibri" w:hAnsi="Calibri" w:cs="Calibri"/>
                <w:color w:val="000000"/>
              </w:rPr>
            </w:pPr>
            <w:r>
              <w:rPr>
                <w:rFonts w:ascii="Calibri" w:hAnsi="Calibri" w:cs="Calibri"/>
                <w:color w:val="000000"/>
              </w:rPr>
              <w:t>20 000,00 €</w:t>
            </w:r>
          </w:p>
        </w:tc>
        <w:tc>
          <w:tcPr>
            <w:tcW w:w="2905" w:type="dxa"/>
            <w:gridSpan w:val="3"/>
            <w:vMerge w:val="restart"/>
            <w:tcBorders>
              <w:top w:val="single" w:sz="12" w:space="0" w:color="auto"/>
              <w:left w:val="single" w:sz="12" w:space="0" w:color="auto"/>
              <w:bottom w:val="single" w:sz="12" w:space="0" w:color="000000"/>
              <w:right w:val="single" w:sz="12" w:space="0" w:color="000000"/>
            </w:tcBorders>
            <w:shd w:val="clear" w:color="000000" w:fill="FFC7CE"/>
            <w:vAlign w:val="center"/>
            <w:hideMark/>
          </w:tcPr>
          <w:p w14:paraId="7FA3298B" w14:textId="77777777" w:rsidR="00617EB4" w:rsidRDefault="00617EB4">
            <w:pPr>
              <w:jc w:val="center"/>
              <w:rPr>
                <w:rFonts w:ascii="Aptos Narrow" w:hAnsi="Aptos Narrow" w:cs="Times New Roman"/>
                <w:color w:val="9C0006"/>
              </w:rPr>
            </w:pPr>
            <w:r>
              <w:rPr>
                <w:rFonts w:ascii="Aptos Narrow" w:hAnsi="Aptos Narrow"/>
                <w:color w:val="9C0006"/>
              </w:rPr>
              <w:t>48 000,00 €</w:t>
            </w:r>
          </w:p>
        </w:tc>
        <w:tc>
          <w:tcPr>
            <w:tcW w:w="56" w:type="dxa"/>
            <w:gridSpan w:val="2"/>
            <w:tcMar>
              <w:top w:w="0" w:type="dxa"/>
              <w:left w:w="0" w:type="dxa"/>
              <w:bottom w:w="0" w:type="dxa"/>
              <w:right w:w="0" w:type="dxa"/>
            </w:tcMar>
            <w:vAlign w:val="center"/>
            <w:hideMark/>
          </w:tcPr>
          <w:p w14:paraId="317DAD56" w14:textId="77777777" w:rsidR="00617EB4" w:rsidRDefault="00617EB4">
            <w:pPr>
              <w:rPr>
                <w:sz w:val="20"/>
                <w:szCs w:val="20"/>
              </w:rPr>
            </w:pPr>
          </w:p>
        </w:tc>
      </w:tr>
      <w:tr w:rsidR="00617EB4" w14:paraId="47E6AAB9"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7BD50132" w14:textId="77777777" w:rsidR="00617EB4" w:rsidRDefault="00617EB4">
            <w:pPr>
              <w:jc w:val="center"/>
              <w:rPr>
                <w:rFonts w:ascii="Aptos" w:hAnsi="Aptos"/>
                <w:color w:val="000000"/>
                <w:sz w:val="24"/>
                <w:szCs w:val="24"/>
              </w:rPr>
            </w:pPr>
            <w:r>
              <w:rPr>
                <w:rFonts w:ascii="Aptos" w:hAnsi="Aptos"/>
                <w:color w:val="000000"/>
              </w:rPr>
              <w:t>Frais agent (heures supplémentaires, frais de déplacement, formation, matériel, etc.)</w:t>
            </w:r>
          </w:p>
        </w:tc>
        <w:tc>
          <w:tcPr>
            <w:tcW w:w="1505" w:type="dxa"/>
            <w:tcBorders>
              <w:top w:val="nil"/>
              <w:left w:val="nil"/>
              <w:bottom w:val="single" w:sz="12" w:space="0" w:color="auto"/>
              <w:right w:val="single" w:sz="12" w:space="0" w:color="auto"/>
            </w:tcBorders>
            <w:vAlign w:val="center"/>
            <w:hideMark/>
          </w:tcPr>
          <w:p w14:paraId="359BD66C" w14:textId="77777777" w:rsidR="00617EB4" w:rsidRDefault="00617EB4">
            <w:pPr>
              <w:jc w:val="center"/>
              <w:rPr>
                <w:rFonts w:ascii="Calibri" w:hAnsi="Calibri" w:cs="Calibri"/>
                <w:color w:val="000000"/>
              </w:rPr>
            </w:pPr>
            <w:r>
              <w:rPr>
                <w:rFonts w:ascii="Calibri" w:hAnsi="Calibri" w:cs="Calibri"/>
                <w:color w:val="000000"/>
              </w:rPr>
              <w:t>3 000,00 €</w:t>
            </w:r>
          </w:p>
        </w:tc>
        <w:tc>
          <w:tcPr>
            <w:tcW w:w="2044" w:type="dxa"/>
            <w:tcBorders>
              <w:top w:val="nil"/>
              <w:left w:val="nil"/>
              <w:bottom w:val="single" w:sz="12" w:space="0" w:color="auto"/>
              <w:right w:val="single" w:sz="12" w:space="0" w:color="auto"/>
            </w:tcBorders>
            <w:shd w:val="clear" w:color="000000" w:fill="FFFFFF"/>
            <w:vAlign w:val="center"/>
            <w:hideMark/>
          </w:tcPr>
          <w:p w14:paraId="367DBF6E" w14:textId="77777777" w:rsidR="00617EB4" w:rsidRDefault="00617EB4">
            <w:pPr>
              <w:jc w:val="center"/>
              <w:rPr>
                <w:rFonts w:ascii="Aptos" w:hAnsi="Aptos" w:cs="Times New Roman"/>
                <w:color w:val="000000"/>
              </w:rPr>
            </w:pPr>
            <w:r>
              <w:rPr>
                <w:rFonts w:ascii="Aptos" w:hAnsi="Aptos"/>
                <w:color w:val="000000"/>
              </w:rPr>
              <w:t> </w:t>
            </w:r>
          </w:p>
        </w:tc>
        <w:tc>
          <w:tcPr>
            <w:tcW w:w="1608" w:type="dxa"/>
            <w:tcBorders>
              <w:top w:val="nil"/>
              <w:left w:val="nil"/>
              <w:bottom w:val="single" w:sz="12" w:space="0" w:color="auto"/>
              <w:right w:val="single" w:sz="12" w:space="0" w:color="auto"/>
            </w:tcBorders>
            <w:shd w:val="clear" w:color="000000" w:fill="FFFFFF"/>
            <w:vAlign w:val="center"/>
            <w:hideMark/>
          </w:tcPr>
          <w:p w14:paraId="1125C2C5"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70ADB0F1"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526A024A" w14:textId="77777777" w:rsidR="00617EB4" w:rsidRDefault="00617EB4">
            <w:pPr>
              <w:rPr>
                <w:sz w:val="20"/>
                <w:szCs w:val="20"/>
              </w:rPr>
            </w:pPr>
          </w:p>
        </w:tc>
      </w:tr>
      <w:tr w:rsidR="00617EB4" w14:paraId="72AC1CF3"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77304CE0" w14:textId="77777777" w:rsidR="00617EB4" w:rsidRDefault="00617EB4">
            <w:pPr>
              <w:jc w:val="center"/>
              <w:rPr>
                <w:rFonts w:ascii="Aptos" w:hAnsi="Aptos" w:cs="Times New Roman"/>
                <w:color w:val="000000"/>
              </w:rPr>
            </w:pPr>
            <w:r>
              <w:rPr>
                <w:rFonts w:ascii="Aptos" w:hAnsi="Aptos"/>
                <w:color w:val="000000"/>
              </w:rPr>
              <w:t>Frais de gestion 5% (RH, management)</w:t>
            </w:r>
          </w:p>
        </w:tc>
        <w:tc>
          <w:tcPr>
            <w:tcW w:w="1505" w:type="dxa"/>
            <w:tcBorders>
              <w:top w:val="nil"/>
              <w:left w:val="nil"/>
              <w:bottom w:val="single" w:sz="12" w:space="0" w:color="auto"/>
              <w:right w:val="single" w:sz="12" w:space="0" w:color="auto"/>
            </w:tcBorders>
            <w:vAlign w:val="center"/>
            <w:hideMark/>
          </w:tcPr>
          <w:p w14:paraId="13022D21" w14:textId="77777777" w:rsidR="00617EB4" w:rsidRDefault="00617EB4">
            <w:pPr>
              <w:jc w:val="center"/>
              <w:rPr>
                <w:rFonts w:ascii="Calibri" w:hAnsi="Calibri" w:cs="Calibri"/>
                <w:color w:val="000000"/>
              </w:rPr>
            </w:pPr>
            <w:r>
              <w:rPr>
                <w:rFonts w:ascii="Calibri" w:hAnsi="Calibri" w:cs="Calibri"/>
                <w:color w:val="000000"/>
              </w:rPr>
              <w:t>2 250,00 €</w:t>
            </w:r>
          </w:p>
        </w:tc>
        <w:tc>
          <w:tcPr>
            <w:tcW w:w="2044" w:type="dxa"/>
            <w:tcBorders>
              <w:top w:val="nil"/>
              <w:left w:val="nil"/>
              <w:bottom w:val="single" w:sz="12" w:space="0" w:color="auto"/>
              <w:right w:val="single" w:sz="12" w:space="0" w:color="auto"/>
            </w:tcBorders>
            <w:shd w:val="clear" w:color="000000" w:fill="FFFFFF"/>
            <w:vAlign w:val="center"/>
            <w:hideMark/>
          </w:tcPr>
          <w:p w14:paraId="558A194A" w14:textId="77777777" w:rsidR="00617EB4" w:rsidRDefault="00617EB4">
            <w:pPr>
              <w:jc w:val="center"/>
              <w:rPr>
                <w:rFonts w:ascii="Aptos" w:hAnsi="Aptos" w:cs="Times New Roman"/>
                <w:color w:val="000000"/>
              </w:rPr>
            </w:pPr>
            <w:r>
              <w:rPr>
                <w:rFonts w:ascii="Aptos" w:hAnsi="Aptos"/>
                <w:color w:val="000000"/>
              </w:rPr>
              <w:t> </w:t>
            </w:r>
          </w:p>
        </w:tc>
        <w:tc>
          <w:tcPr>
            <w:tcW w:w="1608" w:type="dxa"/>
            <w:tcBorders>
              <w:top w:val="nil"/>
              <w:left w:val="nil"/>
              <w:bottom w:val="single" w:sz="12" w:space="0" w:color="auto"/>
              <w:right w:val="single" w:sz="12" w:space="0" w:color="auto"/>
            </w:tcBorders>
            <w:shd w:val="clear" w:color="000000" w:fill="FFFFFF"/>
            <w:vAlign w:val="center"/>
            <w:hideMark/>
          </w:tcPr>
          <w:p w14:paraId="2DF8FE9B"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444C482A"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3D795484" w14:textId="77777777" w:rsidR="00617EB4" w:rsidRDefault="00617EB4">
            <w:pPr>
              <w:rPr>
                <w:sz w:val="20"/>
                <w:szCs w:val="20"/>
              </w:rPr>
            </w:pPr>
          </w:p>
        </w:tc>
      </w:tr>
      <w:tr w:rsidR="00617EB4" w14:paraId="30FF3722"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4FDF7DAE" w14:textId="77777777" w:rsidR="00617EB4" w:rsidRDefault="00617EB4">
            <w:pPr>
              <w:jc w:val="center"/>
              <w:rPr>
                <w:rFonts w:ascii="Aptos" w:hAnsi="Aptos" w:cs="Times New Roman"/>
                <w:color w:val="000000"/>
              </w:rPr>
            </w:pPr>
            <w:r>
              <w:rPr>
                <w:rFonts w:ascii="Aptos" w:hAnsi="Aptos"/>
                <w:color w:val="000000"/>
              </w:rPr>
              <w:t>1 ETP- Chargé de mission mobilité et attractivité</w:t>
            </w:r>
          </w:p>
        </w:tc>
        <w:tc>
          <w:tcPr>
            <w:tcW w:w="1505" w:type="dxa"/>
            <w:tcBorders>
              <w:top w:val="nil"/>
              <w:left w:val="nil"/>
              <w:bottom w:val="single" w:sz="12" w:space="0" w:color="auto"/>
              <w:right w:val="single" w:sz="12" w:space="0" w:color="auto"/>
            </w:tcBorders>
            <w:vAlign w:val="center"/>
            <w:hideMark/>
          </w:tcPr>
          <w:p w14:paraId="4BE54929" w14:textId="77777777" w:rsidR="00617EB4" w:rsidRDefault="00617EB4">
            <w:pPr>
              <w:jc w:val="center"/>
              <w:rPr>
                <w:rFonts w:ascii="Calibri" w:hAnsi="Calibri" w:cs="Calibri"/>
                <w:color w:val="000000"/>
              </w:rPr>
            </w:pPr>
            <w:r>
              <w:rPr>
                <w:rFonts w:ascii="Calibri" w:hAnsi="Calibri" w:cs="Calibri"/>
                <w:color w:val="000000"/>
              </w:rPr>
              <w:t>25 000,00 €</w:t>
            </w:r>
          </w:p>
        </w:tc>
        <w:tc>
          <w:tcPr>
            <w:tcW w:w="2044" w:type="dxa"/>
            <w:tcBorders>
              <w:top w:val="nil"/>
              <w:left w:val="nil"/>
              <w:bottom w:val="single" w:sz="12" w:space="0" w:color="auto"/>
              <w:right w:val="single" w:sz="12" w:space="0" w:color="auto"/>
            </w:tcBorders>
            <w:shd w:val="clear" w:color="000000" w:fill="FFFFFF"/>
            <w:vAlign w:val="center"/>
            <w:hideMark/>
          </w:tcPr>
          <w:p w14:paraId="363498A4" w14:textId="77777777" w:rsidR="00617EB4" w:rsidRDefault="00617EB4">
            <w:pPr>
              <w:jc w:val="center"/>
              <w:rPr>
                <w:rFonts w:ascii="Aptos" w:hAnsi="Aptos" w:cs="Times New Roman"/>
                <w:color w:val="000000"/>
              </w:rPr>
            </w:pPr>
            <w:r>
              <w:rPr>
                <w:rFonts w:ascii="Aptos" w:hAnsi="Aptos"/>
                <w:color w:val="000000"/>
              </w:rPr>
              <w:t xml:space="preserve">Subvention régionale </w:t>
            </w:r>
          </w:p>
        </w:tc>
        <w:tc>
          <w:tcPr>
            <w:tcW w:w="1608" w:type="dxa"/>
            <w:tcBorders>
              <w:top w:val="nil"/>
              <w:left w:val="nil"/>
              <w:bottom w:val="single" w:sz="12" w:space="0" w:color="auto"/>
              <w:right w:val="single" w:sz="12" w:space="0" w:color="auto"/>
            </w:tcBorders>
            <w:shd w:val="clear" w:color="000000" w:fill="FFFFFF"/>
            <w:vAlign w:val="center"/>
            <w:hideMark/>
          </w:tcPr>
          <w:p w14:paraId="1AD090E4" w14:textId="0BE0D215" w:rsidR="00617EB4" w:rsidRDefault="00617EB4">
            <w:pPr>
              <w:jc w:val="center"/>
              <w:rPr>
                <w:rFonts w:ascii="Calibri" w:hAnsi="Calibri" w:cs="Calibri"/>
                <w:color w:val="000000"/>
              </w:rPr>
            </w:pPr>
            <w:r>
              <w:rPr>
                <w:rFonts w:ascii="Calibri" w:hAnsi="Calibri" w:cs="Calibri"/>
                <w:color w:val="000000"/>
              </w:rPr>
              <w:t>10 000</w:t>
            </w:r>
            <w:r w:rsidR="00993B25">
              <w:rPr>
                <w:rFonts w:ascii="Calibri" w:hAnsi="Calibri" w:cs="Calibri"/>
                <w:color w:val="000000"/>
              </w:rPr>
              <w:t xml:space="preserve">, 00 </w:t>
            </w:r>
            <w:r w:rsidR="00993B25">
              <w:rPr>
                <w:rFonts w:ascii="Calibri" w:hAnsi="Calibri" w:cs="Calibri"/>
                <w:color w:val="000000"/>
              </w:rPr>
              <w:t>€</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4E532EFA"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683E16D7" w14:textId="77777777" w:rsidR="00617EB4" w:rsidRDefault="00617EB4">
            <w:pPr>
              <w:rPr>
                <w:sz w:val="20"/>
                <w:szCs w:val="20"/>
              </w:rPr>
            </w:pPr>
          </w:p>
        </w:tc>
      </w:tr>
      <w:tr w:rsidR="00617EB4" w14:paraId="28D150EA"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49F2E4F3" w14:textId="77777777" w:rsidR="00617EB4" w:rsidRDefault="00617EB4">
            <w:pPr>
              <w:jc w:val="center"/>
              <w:rPr>
                <w:rFonts w:ascii="Aptos" w:hAnsi="Aptos" w:cs="Times New Roman"/>
                <w:color w:val="000000"/>
              </w:rPr>
            </w:pPr>
            <w:r>
              <w:rPr>
                <w:rFonts w:ascii="Aptos" w:hAnsi="Aptos"/>
                <w:color w:val="000000"/>
              </w:rPr>
              <w:t>Frais agent (heures supplémentaires, frais de déplacement, formation, matériel, etc.)</w:t>
            </w:r>
          </w:p>
        </w:tc>
        <w:tc>
          <w:tcPr>
            <w:tcW w:w="1505" w:type="dxa"/>
            <w:tcBorders>
              <w:top w:val="nil"/>
              <w:left w:val="nil"/>
              <w:bottom w:val="single" w:sz="12" w:space="0" w:color="auto"/>
              <w:right w:val="single" w:sz="12" w:space="0" w:color="auto"/>
            </w:tcBorders>
            <w:vAlign w:val="center"/>
            <w:hideMark/>
          </w:tcPr>
          <w:p w14:paraId="064610B4" w14:textId="77777777" w:rsidR="00617EB4" w:rsidRDefault="00617EB4">
            <w:pPr>
              <w:jc w:val="center"/>
              <w:rPr>
                <w:rFonts w:ascii="Calibri" w:hAnsi="Calibri" w:cs="Calibri"/>
                <w:color w:val="000000"/>
              </w:rPr>
            </w:pPr>
            <w:r>
              <w:rPr>
                <w:rFonts w:ascii="Calibri" w:hAnsi="Calibri" w:cs="Calibri"/>
                <w:color w:val="000000"/>
              </w:rPr>
              <w:t>1 500,00 €</w:t>
            </w:r>
          </w:p>
        </w:tc>
        <w:tc>
          <w:tcPr>
            <w:tcW w:w="2044" w:type="dxa"/>
            <w:tcBorders>
              <w:top w:val="nil"/>
              <w:left w:val="nil"/>
              <w:bottom w:val="single" w:sz="12" w:space="0" w:color="auto"/>
              <w:right w:val="single" w:sz="12" w:space="0" w:color="auto"/>
            </w:tcBorders>
            <w:shd w:val="clear" w:color="000000" w:fill="FFFFFF"/>
            <w:vAlign w:val="center"/>
            <w:hideMark/>
          </w:tcPr>
          <w:p w14:paraId="48FB7560" w14:textId="77777777" w:rsidR="00617EB4" w:rsidRDefault="00617EB4">
            <w:pPr>
              <w:jc w:val="center"/>
              <w:rPr>
                <w:rFonts w:ascii="Aptos" w:hAnsi="Aptos" w:cs="Times New Roman"/>
                <w:color w:val="000000"/>
              </w:rPr>
            </w:pPr>
            <w:r>
              <w:rPr>
                <w:rFonts w:ascii="Aptos" w:hAnsi="Aptos"/>
                <w:color w:val="000000"/>
              </w:rPr>
              <w:t> </w:t>
            </w:r>
          </w:p>
        </w:tc>
        <w:tc>
          <w:tcPr>
            <w:tcW w:w="1608" w:type="dxa"/>
            <w:tcBorders>
              <w:top w:val="nil"/>
              <w:left w:val="nil"/>
              <w:bottom w:val="single" w:sz="12" w:space="0" w:color="auto"/>
              <w:right w:val="single" w:sz="12" w:space="0" w:color="auto"/>
            </w:tcBorders>
            <w:shd w:val="clear" w:color="000000" w:fill="FFFFFF"/>
            <w:vAlign w:val="center"/>
            <w:hideMark/>
          </w:tcPr>
          <w:p w14:paraId="71D2AF40"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3A9A201D"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45CEC7BC" w14:textId="77777777" w:rsidR="00617EB4" w:rsidRDefault="00617EB4">
            <w:pPr>
              <w:rPr>
                <w:sz w:val="20"/>
                <w:szCs w:val="20"/>
              </w:rPr>
            </w:pPr>
          </w:p>
        </w:tc>
      </w:tr>
      <w:tr w:rsidR="00617EB4" w14:paraId="0F128A89"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0119DDC7" w14:textId="77777777" w:rsidR="00617EB4" w:rsidRDefault="00617EB4">
            <w:pPr>
              <w:jc w:val="center"/>
              <w:rPr>
                <w:rFonts w:ascii="Aptos" w:hAnsi="Aptos" w:cs="Times New Roman"/>
                <w:color w:val="000000"/>
              </w:rPr>
            </w:pPr>
            <w:r>
              <w:rPr>
                <w:rFonts w:ascii="Aptos" w:hAnsi="Aptos"/>
                <w:color w:val="000000"/>
              </w:rPr>
              <w:t>Frais de gestion 5% (RH, management)</w:t>
            </w:r>
          </w:p>
        </w:tc>
        <w:tc>
          <w:tcPr>
            <w:tcW w:w="1505" w:type="dxa"/>
            <w:tcBorders>
              <w:top w:val="nil"/>
              <w:left w:val="nil"/>
              <w:bottom w:val="single" w:sz="12" w:space="0" w:color="auto"/>
              <w:right w:val="single" w:sz="12" w:space="0" w:color="auto"/>
            </w:tcBorders>
            <w:vAlign w:val="center"/>
            <w:hideMark/>
          </w:tcPr>
          <w:p w14:paraId="585DDAAE" w14:textId="77777777" w:rsidR="00617EB4" w:rsidRDefault="00617EB4">
            <w:pPr>
              <w:jc w:val="center"/>
              <w:rPr>
                <w:rFonts w:ascii="Calibri" w:hAnsi="Calibri" w:cs="Calibri"/>
                <w:color w:val="000000"/>
              </w:rPr>
            </w:pPr>
            <w:r>
              <w:rPr>
                <w:rFonts w:ascii="Calibri" w:hAnsi="Calibri" w:cs="Calibri"/>
                <w:color w:val="000000"/>
              </w:rPr>
              <w:t>1 250,00 €</w:t>
            </w:r>
          </w:p>
        </w:tc>
        <w:tc>
          <w:tcPr>
            <w:tcW w:w="2044" w:type="dxa"/>
            <w:tcBorders>
              <w:top w:val="nil"/>
              <w:left w:val="nil"/>
              <w:bottom w:val="single" w:sz="12" w:space="0" w:color="auto"/>
              <w:right w:val="single" w:sz="12" w:space="0" w:color="auto"/>
            </w:tcBorders>
            <w:shd w:val="clear" w:color="000000" w:fill="FFFFFF"/>
            <w:vAlign w:val="center"/>
            <w:hideMark/>
          </w:tcPr>
          <w:p w14:paraId="239B38AE" w14:textId="77777777" w:rsidR="00617EB4" w:rsidRDefault="00617EB4">
            <w:pPr>
              <w:jc w:val="center"/>
              <w:rPr>
                <w:rFonts w:ascii="Aptos" w:hAnsi="Aptos" w:cs="Times New Roman"/>
                <w:color w:val="000000"/>
              </w:rPr>
            </w:pPr>
            <w:r>
              <w:rPr>
                <w:rFonts w:ascii="Aptos" w:hAnsi="Aptos"/>
                <w:color w:val="000000"/>
              </w:rPr>
              <w:t> </w:t>
            </w:r>
          </w:p>
        </w:tc>
        <w:tc>
          <w:tcPr>
            <w:tcW w:w="1608" w:type="dxa"/>
            <w:tcBorders>
              <w:top w:val="nil"/>
              <w:left w:val="nil"/>
              <w:bottom w:val="single" w:sz="12" w:space="0" w:color="auto"/>
              <w:right w:val="single" w:sz="12" w:space="0" w:color="auto"/>
            </w:tcBorders>
            <w:shd w:val="clear" w:color="000000" w:fill="FFFFFF"/>
            <w:vAlign w:val="center"/>
            <w:hideMark/>
          </w:tcPr>
          <w:p w14:paraId="14DA26A2"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1008C9E7"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3C366D79" w14:textId="77777777" w:rsidR="00617EB4" w:rsidRDefault="00617EB4">
            <w:pPr>
              <w:rPr>
                <w:sz w:val="20"/>
                <w:szCs w:val="20"/>
              </w:rPr>
            </w:pPr>
          </w:p>
        </w:tc>
      </w:tr>
      <w:tr w:rsidR="00617EB4" w14:paraId="3900AB8C"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shd w:val="clear" w:color="000000" w:fill="ED7D31"/>
            <w:vAlign w:val="center"/>
            <w:hideMark/>
          </w:tcPr>
          <w:p w14:paraId="5559597F" w14:textId="77777777" w:rsidR="00617EB4" w:rsidRDefault="00617EB4">
            <w:pPr>
              <w:jc w:val="center"/>
              <w:rPr>
                <w:rFonts w:ascii="Calibri" w:hAnsi="Calibri" w:cs="Calibri"/>
                <w:color w:val="FFFFFF"/>
              </w:rPr>
            </w:pPr>
            <w:r>
              <w:rPr>
                <w:rFonts w:ascii="Calibri" w:hAnsi="Calibri" w:cs="Calibri"/>
                <w:color w:val="FFFFFF"/>
              </w:rPr>
              <w:t>Totaux</w:t>
            </w:r>
          </w:p>
        </w:tc>
        <w:tc>
          <w:tcPr>
            <w:tcW w:w="1505" w:type="dxa"/>
            <w:tcBorders>
              <w:top w:val="nil"/>
              <w:left w:val="nil"/>
              <w:bottom w:val="single" w:sz="12" w:space="0" w:color="auto"/>
              <w:right w:val="single" w:sz="12" w:space="0" w:color="auto"/>
            </w:tcBorders>
            <w:shd w:val="clear" w:color="000000" w:fill="ED7D31"/>
            <w:vAlign w:val="center"/>
            <w:hideMark/>
          </w:tcPr>
          <w:p w14:paraId="5FCB5206" w14:textId="77777777" w:rsidR="00617EB4" w:rsidRDefault="00617EB4">
            <w:pPr>
              <w:jc w:val="center"/>
              <w:rPr>
                <w:rFonts w:ascii="Calibri" w:hAnsi="Calibri" w:cs="Calibri"/>
                <w:color w:val="FFFFFF"/>
              </w:rPr>
            </w:pPr>
            <w:r>
              <w:rPr>
                <w:rFonts w:ascii="Calibri" w:hAnsi="Calibri" w:cs="Calibri"/>
                <w:color w:val="FFFFFF"/>
              </w:rPr>
              <w:t>78 000,00 €</w:t>
            </w:r>
          </w:p>
        </w:tc>
        <w:tc>
          <w:tcPr>
            <w:tcW w:w="2044" w:type="dxa"/>
            <w:tcBorders>
              <w:top w:val="nil"/>
              <w:left w:val="nil"/>
              <w:bottom w:val="single" w:sz="12" w:space="0" w:color="auto"/>
              <w:right w:val="single" w:sz="12" w:space="0" w:color="auto"/>
            </w:tcBorders>
            <w:shd w:val="clear" w:color="000000" w:fill="70AD47"/>
            <w:vAlign w:val="center"/>
            <w:hideMark/>
          </w:tcPr>
          <w:p w14:paraId="161697CF" w14:textId="77777777" w:rsidR="00617EB4" w:rsidRDefault="00617EB4">
            <w:pPr>
              <w:jc w:val="center"/>
              <w:rPr>
                <w:rFonts w:ascii="Calibri" w:hAnsi="Calibri" w:cs="Calibri"/>
                <w:color w:val="FFFFFF"/>
              </w:rPr>
            </w:pPr>
            <w:r>
              <w:rPr>
                <w:rFonts w:ascii="Calibri" w:hAnsi="Calibri" w:cs="Calibri"/>
                <w:color w:val="FFFFFF"/>
              </w:rPr>
              <w:t> </w:t>
            </w:r>
          </w:p>
        </w:tc>
        <w:tc>
          <w:tcPr>
            <w:tcW w:w="1608" w:type="dxa"/>
            <w:tcBorders>
              <w:top w:val="nil"/>
              <w:left w:val="nil"/>
              <w:bottom w:val="single" w:sz="12" w:space="0" w:color="auto"/>
              <w:right w:val="single" w:sz="12" w:space="0" w:color="auto"/>
            </w:tcBorders>
            <w:shd w:val="clear" w:color="000000" w:fill="70AD47"/>
            <w:vAlign w:val="center"/>
            <w:hideMark/>
          </w:tcPr>
          <w:p w14:paraId="7BCA9BB0" w14:textId="77777777" w:rsidR="00617EB4" w:rsidRDefault="00617EB4">
            <w:pPr>
              <w:jc w:val="center"/>
              <w:rPr>
                <w:rFonts w:ascii="Calibri" w:hAnsi="Calibri" w:cs="Calibri"/>
                <w:color w:val="FFFFFF"/>
              </w:rPr>
            </w:pPr>
            <w:r>
              <w:rPr>
                <w:rFonts w:ascii="Calibri" w:hAnsi="Calibri" w:cs="Calibri"/>
                <w:color w:val="FFFFFF"/>
              </w:rPr>
              <w:t>30 000,00 €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26C3B7AF"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3D6A7B15" w14:textId="77777777" w:rsidR="00617EB4" w:rsidRDefault="00617EB4">
            <w:pPr>
              <w:rPr>
                <w:sz w:val="20"/>
                <w:szCs w:val="20"/>
              </w:rPr>
            </w:pPr>
          </w:p>
        </w:tc>
      </w:tr>
      <w:tr w:rsidR="00617EB4" w14:paraId="67C62C09" w14:textId="77777777" w:rsidTr="00993B25">
        <w:trPr>
          <w:gridAfter w:val="1"/>
          <w:wAfter w:w="16" w:type="dxa"/>
          <w:trHeight w:val="406"/>
        </w:trPr>
        <w:tc>
          <w:tcPr>
            <w:tcW w:w="11096" w:type="dxa"/>
            <w:gridSpan w:val="7"/>
            <w:tcBorders>
              <w:top w:val="single" w:sz="12" w:space="0" w:color="auto"/>
              <w:left w:val="single" w:sz="12" w:space="0" w:color="auto"/>
              <w:bottom w:val="single" w:sz="12" w:space="0" w:color="auto"/>
              <w:right w:val="single" w:sz="12" w:space="0" w:color="000000"/>
            </w:tcBorders>
            <w:shd w:val="clear" w:color="000000" w:fill="9BC2E6"/>
            <w:vAlign w:val="center"/>
            <w:hideMark/>
          </w:tcPr>
          <w:p w14:paraId="69C1E84F" w14:textId="77777777" w:rsidR="00617EB4" w:rsidRDefault="00617EB4">
            <w:pPr>
              <w:jc w:val="center"/>
              <w:rPr>
                <w:rFonts w:ascii="Calibri" w:hAnsi="Calibri" w:cs="Calibri"/>
                <w:color w:val="000000"/>
                <w:sz w:val="36"/>
                <w:szCs w:val="36"/>
              </w:rPr>
            </w:pPr>
            <w:r>
              <w:rPr>
                <w:rFonts w:ascii="Calibri" w:hAnsi="Calibri" w:cs="Calibri"/>
                <w:color w:val="000000"/>
                <w:sz w:val="36"/>
                <w:szCs w:val="36"/>
              </w:rPr>
              <w:t>Postes portés par la Communauté d'agglomération du Grand Sénonais</w:t>
            </w:r>
          </w:p>
        </w:tc>
        <w:tc>
          <w:tcPr>
            <w:tcW w:w="56" w:type="dxa"/>
            <w:gridSpan w:val="2"/>
            <w:tcMar>
              <w:top w:w="0" w:type="dxa"/>
              <w:left w:w="0" w:type="dxa"/>
              <w:bottom w:w="0" w:type="dxa"/>
              <w:right w:w="0" w:type="dxa"/>
            </w:tcMar>
            <w:vAlign w:val="center"/>
            <w:hideMark/>
          </w:tcPr>
          <w:p w14:paraId="4EF9FF5B" w14:textId="77777777" w:rsidR="00617EB4" w:rsidRDefault="00617EB4">
            <w:pPr>
              <w:rPr>
                <w:sz w:val="20"/>
                <w:szCs w:val="20"/>
              </w:rPr>
            </w:pPr>
          </w:p>
        </w:tc>
      </w:tr>
      <w:tr w:rsidR="00617EB4" w14:paraId="49F432D1"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shd w:val="clear" w:color="000000" w:fill="FFFFFF"/>
            <w:vAlign w:val="center"/>
            <w:hideMark/>
          </w:tcPr>
          <w:p w14:paraId="38943747" w14:textId="77777777" w:rsidR="00617EB4" w:rsidRDefault="00617EB4">
            <w:pPr>
              <w:jc w:val="center"/>
              <w:rPr>
                <w:rFonts w:ascii="Aptos" w:hAnsi="Aptos" w:cs="Times New Roman"/>
                <w:color w:val="000000"/>
                <w:sz w:val="24"/>
                <w:szCs w:val="24"/>
              </w:rPr>
            </w:pPr>
            <w:r>
              <w:rPr>
                <w:rFonts w:ascii="Aptos" w:hAnsi="Aptos"/>
                <w:color w:val="000000"/>
              </w:rPr>
              <w:t>Equipe ingénierie</w:t>
            </w:r>
          </w:p>
        </w:tc>
        <w:tc>
          <w:tcPr>
            <w:tcW w:w="1505" w:type="dxa"/>
            <w:tcBorders>
              <w:top w:val="nil"/>
              <w:left w:val="nil"/>
              <w:bottom w:val="single" w:sz="12" w:space="0" w:color="auto"/>
              <w:right w:val="single" w:sz="12" w:space="0" w:color="auto"/>
            </w:tcBorders>
            <w:shd w:val="clear" w:color="000000" w:fill="FFFFFF"/>
            <w:vAlign w:val="center"/>
            <w:hideMark/>
          </w:tcPr>
          <w:p w14:paraId="291968C0" w14:textId="77777777" w:rsidR="00617EB4" w:rsidRDefault="00617EB4">
            <w:pPr>
              <w:jc w:val="center"/>
              <w:rPr>
                <w:rFonts w:ascii="Calibri" w:hAnsi="Calibri" w:cs="Calibri"/>
                <w:color w:val="000000"/>
              </w:rPr>
            </w:pPr>
            <w:r>
              <w:rPr>
                <w:rFonts w:ascii="Calibri" w:hAnsi="Calibri" w:cs="Calibri"/>
                <w:color w:val="000000"/>
              </w:rPr>
              <w:t>149 000,00 €</w:t>
            </w:r>
          </w:p>
        </w:tc>
        <w:tc>
          <w:tcPr>
            <w:tcW w:w="2044" w:type="dxa"/>
            <w:tcBorders>
              <w:top w:val="nil"/>
              <w:left w:val="nil"/>
              <w:bottom w:val="single" w:sz="12" w:space="0" w:color="auto"/>
              <w:right w:val="single" w:sz="12" w:space="0" w:color="auto"/>
            </w:tcBorders>
            <w:vAlign w:val="center"/>
            <w:hideMark/>
          </w:tcPr>
          <w:p w14:paraId="4ED44BF1" w14:textId="77777777" w:rsidR="00617EB4" w:rsidRDefault="00617EB4">
            <w:pPr>
              <w:jc w:val="center"/>
              <w:rPr>
                <w:rFonts w:ascii="Calibri" w:hAnsi="Calibri" w:cs="Calibri"/>
                <w:color w:val="000000"/>
              </w:rPr>
            </w:pPr>
            <w:r>
              <w:rPr>
                <w:rFonts w:ascii="Calibri" w:hAnsi="Calibri" w:cs="Calibri"/>
                <w:color w:val="000000"/>
              </w:rPr>
              <w:t>Subvention globale de l'ARS</w:t>
            </w:r>
          </w:p>
        </w:tc>
        <w:tc>
          <w:tcPr>
            <w:tcW w:w="1608" w:type="dxa"/>
            <w:tcBorders>
              <w:top w:val="nil"/>
              <w:left w:val="nil"/>
              <w:bottom w:val="single" w:sz="12" w:space="0" w:color="auto"/>
              <w:right w:val="single" w:sz="12" w:space="0" w:color="auto"/>
            </w:tcBorders>
            <w:vAlign w:val="center"/>
            <w:hideMark/>
          </w:tcPr>
          <w:p w14:paraId="41722D40" w14:textId="77777777" w:rsidR="00617EB4" w:rsidRDefault="00617EB4">
            <w:pPr>
              <w:jc w:val="center"/>
              <w:rPr>
                <w:rFonts w:ascii="Calibri" w:hAnsi="Calibri" w:cs="Calibri"/>
                <w:color w:val="000000"/>
              </w:rPr>
            </w:pPr>
            <w:r>
              <w:rPr>
                <w:rFonts w:ascii="Calibri" w:hAnsi="Calibri" w:cs="Calibri"/>
                <w:color w:val="000000"/>
              </w:rPr>
              <w:t>60 000,00 €</w:t>
            </w:r>
          </w:p>
        </w:tc>
        <w:tc>
          <w:tcPr>
            <w:tcW w:w="2905" w:type="dxa"/>
            <w:gridSpan w:val="3"/>
            <w:vMerge w:val="restart"/>
            <w:tcBorders>
              <w:top w:val="single" w:sz="12" w:space="0" w:color="auto"/>
              <w:left w:val="single" w:sz="12" w:space="0" w:color="auto"/>
              <w:bottom w:val="single" w:sz="12" w:space="0" w:color="auto"/>
              <w:right w:val="single" w:sz="12" w:space="0" w:color="auto"/>
            </w:tcBorders>
            <w:shd w:val="clear" w:color="000000" w:fill="FFC7CE"/>
            <w:vAlign w:val="center"/>
            <w:hideMark/>
          </w:tcPr>
          <w:p w14:paraId="543EBBC7" w14:textId="77777777" w:rsidR="00617EB4" w:rsidRDefault="00617EB4">
            <w:pPr>
              <w:jc w:val="center"/>
              <w:rPr>
                <w:rFonts w:ascii="Aptos Narrow" w:hAnsi="Aptos Narrow" w:cs="Times New Roman"/>
                <w:color w:val="9C0006"/>
              </w:rPr>
            </w:pPr>
            <w:r>
              <w:rPr>
                <w:rFonts w:ascii="Aptos Narrow" w:hAnsi="Aptos Narrow"/>
                <w:color w:val="9C0006"/>
              </w:rPr>
              <w:t xml:space="preserve">85 900,00  </w:t>
            </w:r>
          </w:p>
        </w:tc>
        <w:tc>
          <w:tcPr>
            <w:tcW w:w="56" w:type="dxa"/>
            <w:gridSpan w:val="2"/>
            <w:tcMar>
              <w:top w:w="0" w:type="dxa"/>
              <w:left w:w="0" w:type="dxa"/>
              <w:bottom w:w="0" w:type="dxa"/>
              <w:right w:w="0" w:type="dxa"/>
            </w:tcMar>
            <w:vAlign w:val="center"/>
            <w:hideMark/>
          </w:tcPr>
          <w:p w14:paraId="05B69EBC" w14:textId="77777777" w:rsidR="00617EB4" w:rsidRDefault="00617EB4">
            <w:pPr>
              <w:rPr>
                <w:sz w:val="20"/>
                <w:szCs w:val="20"/>
              </w:rPr>
            </w:pPr>
          </w:p>
        </w:tc>
      </w:tr>
      <w:tr w:rsidR="00617EB4" w14:paraId="37041B1B"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shd w:val="clear" w:color="000000" w:fill="FFFFFF"/>
            <w:vAlign w:val="center"/>
            <w:hideMark/>
          </w:tcPr>
          <w:p w14:paraId="384E4F52" w14:textId="77777777" w:rsidR="00617EB4" w:rsidRDefault="00617EB4">
            <w:pPr>
              <w:jc w:val="center"/>
              <w:rPr>
                <w:rFonts w:ascii="Aptos" w:hAnsi="Aptos"/>
                <w:color w:val="000000"/>
                <w:sz w:val="24"/>
                <w:szCs w:val="24"/>
              </w:rPr>
            </w:pPr>
            <w:r>
              <w:rPr>
                <w:rFonts w:ascii="Aptos" w:hAnsi="Aptos"/>
                <w:color w:val="000000"/>
              </w:rPr>
              <w:t>Frais agent (heures supplémentaires, frais de déplacement, formation, matériel, etc.)</w:t>
            </w:r>
          </w:p>
        </w:tc>
        <w:tc>
          <w:tcPr>
            <w:tcW w:w="1505" w:type="dxa"/>
            <w:tcBorders>
              <w:top w:val="nil"/>
              <w:left w:val="nil"/>
              <w:bottom w:val="single" w:sz="12" w:space="0" w:color="auto"/>
              <w:right w:val="single" w:sz="12" w:space="0" w:color="auto"/>
            </w:tcBorders>
            <w:shd w:val="clear" w:color="000000" w:fill="FFFFFF"/>
            <w:vAlign w:val="center"/>
            <w:hideMark/>
          </w:tcPr>
          <w:p w14:paraId="2F45DD00" w14:textId="77777777" w:rsidR="00617EB4" w:rsidRDefault="00617EB4">
            <w:pPr>
              <w:jc w:val="center"/>
              <w:rPr>
                <w:rFonts w:ascii="Calibri" w:hAnsi="Calibri" w:cs="Calibri"/>
                <w:color w:val="000000"/>
              </w:rPr>
            </w:pPr>
            <w:r>
              <w:rPr>
                <w:rFonts w:ascii="Calibri" w:hAnsi="Calibri" w:cs="Calibri"/>
                <w:color w:val="000000"/>
              </w:rPr>
              <w:t>9 000,00 €</w:t>
            </w:r>
          </w:p>
        </w:tc>
        <w:tc>
          <w:tcPr>
            <w:tcW w:w="2044" w:type="dxa"/>
            <w:tcBorders>
              <w:top w:val="nil"/>
              <w:left w:val="nil"/>
              <w:bottom w:val="single" w:sz="12" w:space="0" w:color="auto"/>
              <w:right w:val="single" w:sz="12" w:space="0" w:color="auto"/>
            </w:tcBorders>
            <w:vAlign w:val="center"/>
            <w:hideMark/>
          </w:tcPr>
          <w:p w14:paraId="263C052B" w14:textId="77777777" w:rsidR="00617EB4" w:rsidRDefault="00617EB4">
            <w:pPr>
              <w:jc w:val="center"/>
              <w:rPr>
                <w:rFonts w:ascii="Calibri" w:hAnsi="Calibri" w:cs="Calibri"/>
                <w:color w:val="000000"/>
              </w:rPr>
            </w:pPr>
            <w:r>
              <w:rPr>
                <w:rFonts w:ascii="Calibri" w:hAnsi="Calibri" w:cs="Calibri"/>
                <w:color w:val="000000"/>
              </w:rPr>
              <w:t>Subvention poste de cheffe de projet Région</w:t>
            </w:r>
          </w:p>
        </w:tc>
        <w:tc>
          <w:tcPr>
            <w:tcW w:w="1608" w:type="dxa"/>
            <w:tcBorders>
              <w:top w:val="nil"/>
              <w:left w:val="nil"/>
              <w:bottom w:val="single" w:sz="12" w:space="0" w:color="auto"/>
              <w:right w:val="single" w:sz="12" w:space="0" w:color="auto"/>
            </w:tcBorders>
            <w:vAlign w:val="center"/>
            <w:hideMark/>
          </w:tcPr>
          <w:p w14:paraId="679F16FD" w14:textId="77777777" w:rsidR="00617EB4" w:rsidRDefault="00617EB4">
            <w:pPr>
              <w:jc w:val="center"/>
              <w:rPr>
                <w:rFonts w:ascii="Calibri" w:hAnsi="Calibri" w:cs="Calibri"/>
                <w:color w:val="000000"/>
              </w:rPr>
            </w:pPr>
            <w:r>
              <w:rPr>
                <w:rFonts w:ascii="Calibri" w:hAnsi="Calibri" w:cs="Calibri"/>
                <w:color w:val="000000"/>
              </w:rPr>
              <w:t>20 000,00 €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5D41D5FA"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41BAD181" w14:textId="77777777" w:rsidR="00617EB4" w:rsidRDefault="00617EB4">
            <w:pPr>
              <w:rPr>
                <w:sz w:val="20"/>
                <w:szCs w:val="20"/>
              </w:rPr>
            </w:pPr>
          </w:p>
        </w:tc>
      </w:tr>
      <w:tr w:rsidR="00617EB4" w14:paraId="775597C9"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shd w:val="clear" w:color="000000" w:fill="FFFFFF"/>
            <w:vAlign w:val="center"/>
            <w:hideMark/>
          </w:tcPr>
          <w:p w14:paraId="33909B19" w14:textId="77777777" w:rsidR="00617EB4" w:rsidRDefault="00617EB4">
            <w:pPr>
              <w:jc w:val="center"/>
              <w:rPr>
                <w:rFonts w:ascii="Aptos" w:hAnsi="Aptos" w:cs="Times New Roman"/>
                <w:color w:val="000000"/>
                <w:sz w:val="24"/>
                <w:szCs w:val="24"/>
              </w:rPr>
            </w:pPr>
            <w:r>
              <w:rPr>
                <w:rFonts w:ascii="Aptos" w:hAnsi="Aptos"/>
                <w:color w:val="000000"/>
              </w:rPr>
              <w:t>Frais de gestion 5% (RH, management)</w:t>
            </w:r>
          </w:p>
        </w:tc>
        <w:tc>
          <w:tcPr>
            <w:tcW w:w="1505" w:type="dxa"/>
            <w:tcBorders>
              <w:top w:val="nil"/>
              <w:left w:val="nil"/>
              <w:bottom w:val="single" w:sz="12" w:space="0" w:color="auto"/>
              <w:right w:val="single" w:sz="12" w:space="0" w:color="auto"/>
            </w:tcBorders>
            <w:shd w:val="clear" w:color="000000" w:fill="FFFFFF"/>
            <w:vAlign w:val="center"/>
            <w:hideMark/>
          </w:tcPr>
          <w:p w14:paraId="4D9AE213" w14:textId="77777777" w:rsidR="00617EB4" w:rsidRDefault="00617EB4">
            <w:pPr>
              <w:jc w:val="center"/>
              <w:rPr>
                <w:rFonts w:ascii="Calibri" w:hAnsi="Calibri" w:cs="Calibri"/>
                <w:color w:val="000000"/>
              </w:rPr>
            </w:pPr>
            <w:r>
              <w:rPr>
                <w:rFonts w:ascii="Calibri" w:hAnsi="Calibri" w:cs="Calibri"/>
                <w:color w:val="000000"/>
              </w:rPr>
              <w:t>7 900,00 €</w:t>
            </w:r>
          </w:p>
        </w:tc>
        <w:tc>
          <w:tcPr>
            <w:tcW w:w="2044" w:type="dxa"/>
            <w:tcBorders>
              <w:top w:val="nil"/>
              <w:left w:val="nil"/>
              <w:bottom w:val="single" w:sz="12" w:space="0" w:color="auto"/>
              <w:right w:val="single" w:sz="12" w:space="0" w:color="auto"/>
            </w:tcBorders>
            <w:vAlign w:val="center"/>
            <w:hideMark/>
          </w:tcPr>
          <w:p w14:paraId="49DFE47E" w14:textId="77777777" w:rsidR="00617EB4" w:rsidRDefault="00617EB4">
            <w:pPr>
              <w:jc w:val="center"/>
              <w:rPr>
                <w:rFonts w:ascii="Calibri" w:hAnsi="Calibri" w:cs="Calibri"/>
                <w:color w:val="000000"/>
              </w:rPr>
            </w:pPr>
            <w:r>
              <w:rPr>
                <w:rFonts w:ascii="Calibri" w:hAnsi="Calibri" w:cs="Calibri"/>
                <w:color w:val="000000"/>
              </w:rPr>
              <w:t> </w:t>
            </w:r>
          </w:p>
        </w:tc>
        <w:tc>
          <w:tcPr>
            <w:tcW w:w="1608" w:type="dxa"/>
            <w:tcBorders>
              <w:top w:val="nil"/>
              <w:left w:val="nil"/>
              <w:bottom w:val="single" w:sz="12" w:space="0" w:color="auto"/>
              <w:right w:val="single" w:sz="12" w:space="0" w:color="auto"/>
            </w:tcBorders>
            <w:vAlign w:val="center"/>
            <w:hideMark/>
          </w:tcPr>
          <w:p w14:paraId="2D4D9DB3"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15A7B366"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5D99FB96" w14:textId="77777777" w:rsidR="00617EB4" w:rsidRDefault="00617EB4">
            <w:pPr>
              <w:rPr>
                <w:sz w:val="20"/>
                <w:szCs w:val="20"/>
              </w:rPr>
            </w:pPr>
          </w:p>
        </w:tc>
      </w:tr>
      <w:tr w:rsidR="00617EB4" w14:paraId="2318F04C"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shd w:val="clear" w:color="000000" w:fill="ED7D31"/>
            <w:vAlign w:val="center"/>
            <w:hideMark/>
          </w:tcPr>
          <w:p w14:paraId="29ACE23F" w14:textId="77777777" w:rsidR="00617EB4" w:rsidRDefault="00617EB4">
            <w:pPr>
              <w:jc w:val="center"/>
              <w:rPr>
                <w:rFonts w:ascii="Calibri" w:hAnsi="Calibri" w:cs="Calibri"/>
                <w:color w:val="FFFFFF"/>
              </w:rPr>
            </w:pPr>
            <w:r>
              <w:rPr>
                <w:rFonts w:ascii="Calibri" w:hAnsi="Calibri" w:cs="Calibri"/>
                <w:color w:val="FFFFFF"/>
              </w:rPr>
              <w:lastRenderedPageBreak/>
              <w:t>Totaux</w:t>
            </w:r>
          </w:p>
        </w:tc>
        <w:tc>
          <w:tcPr>
            <w:tcW w:w="1505" w:type="dxa"/>
            <w:tcBorders>
              <w:top w:val="nil"/>
              <w:left w:val="nil"/>
              <w:bottom w:val="single" w:sz="12" w:space="0" w:color="auto"/>
              <w:right w:val="single" w:sz="12" w:space="0" w:color="auto"/>
            </w:tcBorders>
            <w:shd w:val="clear" w:color="000000" w:fill="ED7D31"/>
            <w:vAlign w:val="center"/>
            <w:hideMark/>
          </w:tcPr>
          <w:p w14:paraId="687057D6" w14:textId="77777777" w:rsidR="00617EB4" w:rsidRDefault="00617EB4">
            <w:pPr>
              <w:jc w:val="center"/>
              <w:rPr>
                <w:rFonts w:ascii="Calibri" w:hAnsi="Calibri" w:cs="Calibri"/>
                <w:color w:val="FFFFFF"/>
              </w:rPr>
            </w:pPr>
            <w:r>
              <w:rPr>
                <w:rFonts w:ascii="Calibri" w:hAnsi="Calibri" w:cs="Calibri"/>
                <w:color w:val="FFFFFF"/>
              </w:rPr>
              <w:t>165 900,00 €</w:t>
            </w:r>
          </w:p>
        </w:tc>
        <w:tc>
          <w:tcPr>
            <w:tcW w:w="2044" w:type="dxa"/>
            <w:tcBorders>
              <w:top w:val="nil"/>
              <w:left w:val="nil"/>
              <w:bottom w:val="single" w:sz="12" w:space="0" w:color="auto"/>
              <w:right w:val="single" w:sz="12" w:space="0" w:color="auto"/>
            </w:tcBorders>
            <w:shd w:val="clear" w:color="000000" w:fill="70AD47"/>
            <w:vAlign w:val="center"/>
            <w:hideMark/>
          </w:tcPr>
          <w:p w14:paraId="38E69B7D" w14:textId="77777777" w:rsidR="00617EB4" w:rsidRDefault="00617EB4">
            <w:pPr>
              <w:jc w:val="center"/>
              <w:rPr>
                <w:rFonts w:ascii="Calibri" w:hAnsi="Calibri" w:cs="Calibri"/>
                <w:color w:val="FFFFFF"/>
              </w:rPr>
            </w:pPr>
            <w:r>
              <w:rPr>
                <w:rFonts w:ascii="Calibri" w:hAnsi="Calibri" w:cs="Calibri"/>
                <w:color w:val="FFFFFF"/>
              </w:rPr>
              <w:t> </w:t>
            </w:r>
          </w:p>
        </w:tc>
        <w:tc>
          <w:tcPr>
            <w:tcW w:w="1608" w:type="dxa"/>
            <w:tcBorders>
              <w:top w:val="nil"/>
              <w:left w:val="nil"/>
              <w:bottom w:val="single" w:sz="12" w:space="0" w:color="auto"/>
              <w:right w:val="single" w:sz="12" w:space="0" w:color="auto"/>
            </w:tcBorders>
            <w:shd w:val="clear" w:color="000000" w:fill="70AD47"/>
            <w:vAlign w:val="center"/>
            <w:hideMark/>
          </w:tcPr>
          <w:p w14:paraId="01E7CFB9" w14:textId="77777777" w:rsidR="00617EB4" w:rsidRDefault="00617EB4">
            <w:pPr>
              <w:jc w:val="center"/>
              <w:rPr>
                <w:rFonts w:ascii="Calibri" w:hAnsi="Calibri" w:cs="Calibri"/>
                <w:color w:val="FFFFFF"/>
              </w:rPr>
            </w:pPr>
            <w:r>
              <w:rPr>
                <w:rFonts w:ascii="Calibri" w:hAnsi="Calibri" w:cs="Calibri"/>
                <w:color w:val="FFFFFF"/>
              </w:rPr>
              <w:t>80 000,00 €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3518A05C"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0CCCAD17" w14:textId="77777777" w:rsidR="00617EB4" w:rsidRDefault="00617EB4">
            <w:pPr>
              <w:rPr>
                <w:sz w:val="20"/>
                <w:szCs w:val="20"/>
              </w:rPr>
            </w:pPr>
          </w:p>
        </w:tc>
      </w:tr>
      <w:tr w:rsidR="00617EB4" w14:paraId="127AD66D" w14:textId="77777777" w:rsidTr="00993B25">
        <w:trPr>
          <w:gridAfter w:val="1"/>
          <w:wAfter w:w="16" w:type="dxa"/>
          <w:trHeight w:val="406"/>
        </w:trPr>
        <w:tc>
          <w:tcPr>
            <w:tcW w:w="11096" w:type="dxa"/>
            <w:gridSpan w:val="7"/>
            <w:tcBorders>
              <w:top w:val="single" w:sz="12" w:space="0" w:color="auto"/>
              <w:left w:val="single" w:sz="12" w:space="0" w:color="auto"/>
              <w:bottom w:val="single" w:sz="12" w:space="0" w:color="auto"/>
              <w:right w:val="single" w:sz="12" w:space="0" w:color="000000"/>
            </w:tcBorders>
            <w:shd w:val="clear" w:color="000000" w:fill="FFD966"/>
            <w:vAlign w:val="center"/>
            <w:hideMark/>
          </w:tcPr>
          <w:p w14:paraId="0EC75C25" w14:textId="77777777" w:rsidR="00617EB4" w:rsidRDefault="00617EB4">
            <w:pPr>
              <w:jc w:val="center"/>
              <w:rPr>
                <w:rFonts w:ascii="Calibri" w:hAnsi="Calibri" w:cs="Calibri"/>
                <w:color w:val="000000"/>
                <w:sz w:val="36"/>
                <w:szCs w:val="36"/>
              </w:rPr>
            </w:pPr>
            <w:r>
              <w:rPr>
                <w:rFonts w:ascii="Calibri" w:hAnsi="Calibri" w:cs="Calibri"/>
                <w:color w:val="000000"/>
                <w:sz w:val="36"/>
                <w:szCs w:val="36"/>
              </w:rPr>
              <w:t xml:space="preserve">2. Divers : </w:t>
            </w:r>
          </w:p>
        </w:tc>
        <w:tc>
          <w:tcPr>
            <w:tcW w:w="56" w:type="dxa"/>
            <w:gridSpan w:val="2"/>
            <w:tcMar>
              <w:top w:w="0" w:type="dxa"/>
              <w:left w:w="0" w:type="dxa"/>
              <w:bottom w:w="0" w:type="dxa"/>
              <w:right w:w="0" w:type="dxa"/>
            </w:tcMar>
            <w:vAlign w:val="center"/>
            <w:hideMark/>
          </w:tcPr>
          <w:p w14:paraId="1126A454" w14:textId="77777777" w:rsidR="00617EB4" w:rsidRDefault="00617EB4">
            <w:pPr>
              <w:rPr>
                <w:sz w:val="20"/>
                <w:szCs w:val="20"/>
              </w:rPr>
            </w:pPr>
          </w:p>
        </w:tc>
      </w:tr>
      <w:tr w:rsidR="00617EB4" w14:paraId="58568C02"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0D80D803" w14:textId="77777777" w:rsidR="00617EB4" w:rsidRDefault="00617EB4">
            <w:pPr>
              <w:jc w:val="center"/>
              <w:rPr>
                <w:rFonts w:ascii="Calibri" w:hAnsi="Calibri" w:cs="Calibri"/>
                <w:color w:val="000000"/>
              </w:rPr>
            </w:pPr>
            <w:r>
              <w:rPr>
                <w:rFonts w:ascii="Calibri" w:hAnsi="Calibri" w:cs="Calibri"/>
                <w:color w:val="000000"/>
              </w:rPr>
              <w:t xml:space="preserve">Cotisation à l’Association Nationale des Pôles territoriaux et des Pays </w:t>
            </w:r>
          </w:p>
        </w:tc>
        <w:tc>
          <w:tcPr>
            <w:tcW w:w="1505" w:type="dxa"/>
            <w:tcBorders>
              <w:top w:val="nil"/>
              <w:left w:val="nil"/>
              <w:bottom w:val="single" w:sz="12" w:space="0" w:color="auto"/>
              <w:right w:val="single" w:sz="12" w:space="0" w:color="auto"/>
            </w:tcBorders>
            <w:vAlign w:val="center"/>
            <w:hideMark/>
          </w:tcPr>
          <w:p w14:paraId="22EB9859" w14:textId="77777777" w:rsidR="00617EB4" w:rsidRDefault="00617EB4">
            <w:pPr>
              <w:jc w:val="center"/>
              <w:rPr>
                <w:rFonts w:ascii="Calibri" w:hAnsi="Calibri" w:cs="Calibri"/>
                <w:color w:val="000000"/>
              </w:rPr>
            </w:pPr>
            <w:r>
              <w:rPr>
                <w:rFonts w:ascii="Calibri" w:hAnsi="Calibri" w:cs="Calibri"/>
                <w:color w:val="000000"/>
              </w:rPr>
              <w:t>620,00 €</w:t>
            </w:r>
          </w:p>
        </w:tc>
        <w:tc>
          <w:tcPr>
            <w:tcW w:w="2044" w:type="dxa"/>
            <w:tcBorders>
              <w:top w:val="nil"/>
              <w:left w:val="nil"/>
              <w:bottom w:val="single" w:sz="12" w:space="0" w:color="auto"/>
              <w:right w:val="single" w:sz="12" w:space="0" w:color="auto"/>
            </w:tcBorders>
            <w:vAlign w:val="center"/>
            <w:hideMark/>
          </w:tcPr>
          <w:p w14:paraId="43405D15" w14:textId="77777777" w:rsidR="00617EB4" w:rsidRDefault="00617EB4">
            <w:pPr>
              <w:rPr>
                <w:rFonts w:ascii="Calibri" w:hAnsi="Calibri" w:cs="Calibri"/>
                <w:color w:val="000000"/>
              </w:rPr>
            </w:pPr>
            <w:r>
              <w:rPr>
                <w:rFonts w:ascii="Calibri" w:hAnsi="Calibri" w:cs="Calibri"/>
                <w:color w:val="000000"/>
              </w:rPr>
              <w:t> </w:t>
            </w:r>
          </w:p>
        </w:tc>
        <w:tc>
          <w:tcPr>
            <w:tcW w:w="1608" w:type="dxa"/>
            <w:tcBorders>
              <w:top w:val="nil"/>
              <w:left w:val="nil"/>
              <w:bottom w:val="single" w:sz="12" w:space="0" w:color="auto"/>
              <w:right w:val="single" w:sz="12" w:space="0" w:color="auto"/>
            </w:tcBorders>
            <w:vAlign w:val="center"/>
            <w:hideMark/>
          </w:tcPr>
          <w:p w14:paraId="173FC4CD"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val="restart"/>
            <w:tcBorders>
              <w:top w:val="single" w:sz="12" w:space="0" w:color="auto"/>
              <w:left w:val="single" w:sz="12" w:space="0" w:color="auto"/>
              <w:bottom w:val="single" w:sz="12" w:space="0" w:color="000000"/>
              <w:right w:val="single" w:sz="12" w:space="0" w:color="000000"/>
            </w:tcBorders>
            <w:shd w:val="clear" w:color="000000" w:fill="FFC7CE"/>
            <w:vAlign w:val="center"/>
            <w:hideMark/>
          </w:tcPr>
          <w:p w14:paraId="046D9B9B" w14:textId="38C02D8F" w:rsidR="00617EB4" w:rsidRDefault="00617EB4">
            <w:pPr>
              <w:jc w:val="center"/>
              <w:rPr>
                <w:rFonts w:ascii="Aptos Narrow" w:hAnsi="Aptos Narrow" w:cs="Times New Roman"/>
                <w:color w:val="9C0006"/>
              </w:rPr>
            </w:pPr>
            <w:r>
              <w:rPr>
                <w:rFonts w:ascii="Aptos Narrow" w:hAnsi="Aptos Narrow"/>
                <w:color w:val="9C0006"/>
              </w:rPr>
              <w:t>30 2</w:t>
            </w:r>
            <w:r w:rsidR="00B76BCC">
              <w:rPr>
                <w:rFonts w:ascii="Aptos Narrow" w:hAnsi="Aptos Narrow"/>
                <w:color w:val="9C0006"/>
              </w:rPr>
              <w:t>50</w:t>
            </w:r>
            <w:r>
              <w:rPr>
                <w:rFonts w:ascii="Aptos Narrow" w:hAnsi="Aptos Narrow"/>
                <w:color w:val="9C0006"/>
              </w:rPr>
              <w:t>,00 €</w:t>
            </w:r>
          </w:p>
        </w:tc>
        <w:tc>
          <w:tcPr>
            <w:tcW w:w="56" w:type="dxa"/>
            <w:gridSpan w:val="2"/>
            <w:tcMar>
              <w:top w:w="0" w:type="dxa"/>
              <w:left w:w="0" w:type="dxa"/>
              <w:bottom w:w="0" w:type="dxa"/>
              <w:right w:w="0" w:type="dxa"/>
            </w:tcMar>
            <w:vAlign w:val="center"/>
            <w:hideMark/>
          </w:tcPr>
          <w:p w14:paraId="7BF74672" w14:textId="77777777" w:rsidR="00617EB4" w:rsidRDefault="00617EB4">
            <w:pPr>
              <w:rPr>
                <w:sz w:val="20"/>
                <w:szCs w:val="20"/>
              </w:rPr>
            </w:pPr>
          </w:p>
        </w:tc>
      </w:tr>
      <w:tr w:rsidR="00617EB4" w14:paraId="3A97230F"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0B4607AA" w14:textId="77777777" w:rsidR="00617EB4" w:rsidRDefault="00617EB4">
            <w:pPr>
              <w:jc w:val="center"/>
              <w:rPr>
                <w:rFonts w:ascii="Calibri" w:hAnsi="Calibri" w:cs="Calibri"/>
                <w:color w:val="000000"/>
              </w:rPr>
            </w:pPr>
            <w:r>
              <w:rPr>
                <w:rFonts w:ascii="Calibri" w:hAnsi="Calibri" w:cs="Calibri"/>
                <w:color w:val="000000"/>
              </w:rPr>
              <w:t>Cotisation Agence Régionale du Numérique et de l'intelligence artificielle</w:t>
            </w:r>
          </w:p>
        </w:tc>
        <w:tc>
          <w:tcPr>
            <w:tcW w:w="1505" w:type="dxa"/>
            <w:tcBorders>
              <w:top w:val="nil"/>
              <w:left w:val="nil"/>
              <w:bottom w:val="single" w:sz="12" w:space="0" w:color="auto"/>
              <w:right w:val="single" w:sz="12" w:space="0" w:color="auto"/>
            </w:tcBorders>
            <w:vAlign w:val="center"/>
            <w:hideMark/>
          </w:tcPr>
          <w:p w14:paraId="18A0BD8E" w14:textId="692727F6" w:rsidR="00617EB4" w:rsidRDefault="00617EB4">
            <w:pPr>
              <w:jc w:val="center"/>
              <w:rPr>
                <w:rFonts w:ascii="Calibri" w:hAnsi="Calibri" w:cs="Calibri"/>
                <w:color w:val="000000"/>
              </w:rPr>
            </w:pPr>
            <w:r>
              <w:rPr>
                <w:rFonts w:ascii="Calibri" w:hAnsi="Calibri" w:cs="Calibri"/>
                <w:color w:val="000000"/>
              </w:rPr>
              <w:t>1</w:t>
            </w:r>
            <w:r w:rsidR="00596B42">
              <w:rPr>
                <w:rFonts w:ascii="Calibri" w:hAnsi="Calibri" w:cs="Calibri"/>
                <w:color w:val="000000"/>
              </w:rPr>
              <w:t>30</w:t>
            </w:r>
            <w:r>
              <w:rPr>
                <w:rFonts w:ascii="Calibri" w:hAnsi="Calibri" w:cs="Calibri"/>
                <w:color w:val="000000"/>
              </w:rPr>
              <w:t>,00 €</w:t>
            </w:r>
          </w:p>
        </w:tc>
        <w:tc>
          <w:tcPr>
            <w:tcW w:w="2044" w:type="dxa"/>
            <w:tcBorders>
              <w:top w:val="nil"/>
              <w:left w:val="nil"/>
              <w:bottom w:val="single" w:sz="12" w:space="0" w:color="auto"/>
              <w:right w:val="single" w:sz="12" w:space="0" w:color="auto"/>
            </w:tcBorders>
            <w:vAlign w:val="center"/>
            <w:hideMark/>
          </w:tcPr>
          <w:p w14:paraId="6994BE49" w14:textId="77777777" w:rsidR="00617EB4" w:rsidRDefault="00617EB4">
            <w:pPr>
              <w:rPr>
                <w:rFonts w:ascii="Calibri" w:hAnsi="Calibri" w:cs="Calibri"/>
                <w:color w:val="000000"/>
              </w:rPr>
            </w:pPr>
            <w:r>
              <w:rPr>
                <w:rFonts w:ascii="Calibri" w:hAnsi="Calibri" w:cs="Calibri"/>
                <w:color w:val="000000"/>
              </w:rPr>
              <w:t> </w:t>
            </w:r>
          </w:p>
        </w:tc>
        <w:tc>
          <w:tcPr>
            <w:tcW w:w="1608" w:type="dxa"/>
            <w:tcBorders>
              <w:top w:val="nil"/>
              <w:left w:val="nil"/>
              <w:bottom w:val="single" w:sz="12" w:space="0" w:color="auto"/>
              <w:right w:val="single" w:sz="12" w:space="0" w:color="auto"/>
            </w:tcBorders>
            <w:vAlign w:val="center"/>
            <w:hideMark/>
          </w:tcPr>
          <w:p w14:paraId="0A54DE39"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74DDF32A"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01C696E3" w14:textId="77777777" w:rsidR="00617EB4" w:rsidRDefault="00617EB4">
            <w:pPr>
              <w:rPr>
                <w:sz w:val="20"/>
                <w:szCs w:val="20"/>
              </w:rPr>
            </w:pPr>
          </w:p>
        </w:tc>
      </w:tr>
      <w:tr w:rsidR="00617EB4" w14:paraId="52B0FCD4"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5328D0D0" w14:textId="77777777" w:rsidR="00617EB4" w:rsidRDefault="00617EB4">
            <w:pPr>
              <w:jc w:val="center"/>
              <w:rPr>
                <w:rFonts w:ascii="Calibri" w:hAnsi="Calibri" w:cs="Calibri"/>
                <w:color w:val="000000"/>
              </w:rPr>
            </w:pPr>
            <w:r>
              <w:rPr>
                <w:rFonts w:ascii="Calibri" w:hAnsi="Calibri" w:cs="Calibri"/>
                <w:color w:val="000000"/>
              </w:rPr>
              <w:t xml:space="preserve">Cotisation </w:t>
            </w:r>
            <w:proofErr w:type="spellStart"/>
            <w:r>
              <w:rPr>
                <w:rFonts w:ascii="Calibri" w:hAnsi="Calibri" w:cs="Calibri"/>
                <w:color w:val="000000"/>
              </w:rPr>
              <w:t>AgriParis</w:t>
            </w:r>
            <w:proofErr w:type="spellEnd"/>
            <w:r>
              <w:rPr>
                <w:rFonts w:ascii="Calibri" w:hAnsi="Calibri" w:cs="Calibri"/>
                <w:color w:val="000000"/>
              </w:rPr>
              <w:t xml:space="preserve"> </w:t>
            </w:r>
          </w:p>
        </w:tc>
        <w:tc>
          <w:tcPr>
            <w:tcW w:w="1505" w:type="dxa"/>
            <w:tcBorders>
              <w:top w:val="nil"/>
              <w:left w:val="nil"/>
              <w:bottom w:val="single" w:sz="12" w:space="0" w:color="auto"/>
              <w:right w:val="single" w:sz="12" w:space="0" w:color="auto"/>
            </w:tcBorders>
            <w:vAlign w:val="center"/>
            <w:hideMark/>
          </w:tcPr>
          <w:p w14:paraId="5FDFAEA7" w14:textId="77777777" w:rsidR="00617EB4" w:rsidRDefault="00617EB4">
            <w:pPr>
              <w:jc w:val="center"/>
              <w:rPr>
                <w:rFonts w:ascii="Calibri" w:hAnsi="Calibri" w:cs="Calibri"/>
                <w:color w:val="000000"/>
              </w:rPr>
            </w:pPr>
            <w:r>
              <w:rPr>
                <w:rFonts w:ascii="Calibri" w:hAnsi="Calibri" w:cs="Calibri"/>
                <w:color w:val="000000"/>
              </w:rPr>
              <w:t>10 000,00 €</w:t>
            </w:r>
          </w:p>
        </w:tc>
        <w:tc>
          <w:tcPr>
            <w:tcW w:w="2044" w:type="dxa"/>
            <w:tcBorders>
              <w:top w:val="nil"/>
              <w:left w:val="nil"/>
              <w:bottom w:val="single" w:sz="12" w:space="0" w:color="auto"/>
              <w:right w:val="single" w:sz="12" w:space="0" w:color="auto"/>
            </w:tcBorders>
            <w:vAlign w:val="center"/>
            <w:hideMark/>
          </w:tcPr>
          <w:p w14:paraId="233C1682" w14:textId="77777777" w:rsidR="00617EB4" w:rsidRDefault="00617EB4">
            <w:pPr>
              <w:rPr>
                <w:rFonts w:ascii="Calibri" w:hAnsi="Calibri" w:cs="Calibri"/>
                <w:color w:val="000000"/>
              </w:rPr>
            </w:pPr>
            <w:r>
              <w:rPr>
                <w:rFonts w:ascii="Calibri" w:hAnsi="Calibri" w:cs="Calibri"/>
                <w:color w:val="000000"/>
              </w:rPr>
              <w:t> </w:t>
            </w:r>
          </w:p>
        </w:tc>
        <w:tc>
          <w:tcPr>
            <w:tcW w:w="1608" w:type="dxa"/>
            <w:tcBorders>
              <w:top w:val="nil"/>
              <w:left w:val="nil"/>
              <w:bottom w:val="single" w:sz="12" w:space="0" w:color="auto"/>
              <w:right w:val="single" w:sz="12" w:space="0" w:color="auto"/>
            </w:tcBorders>
            <w:vAlign w:val="center"/>
            <w:hideMark/>
          </w:tcPr>
          <w:p w14:paraId="53384AE6"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319E32F2"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1D153C24" w14:textId="77777777" w:rsidR="00617EB4" w:rsidRDefault="00617EB4">
            <w:pPr>
              <w:rPr>
                <w:sz w:val="20"/>
                <w:szCs w:val="20"/>
              </w:rPr>
            </w:pPr>
          </w:p>
        </w:tc>
      </w:tr>
      <w:tr w:rsidR="00617EB4" w14:paraId="44727182"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6AE0435B" w14:textId="77777777" w:rsidR="00617EB4" w:rsidRDefault="00617EB4">
            <w:pPr>
              <w:jc w:val="center"/>
              <w:rPr>
                <w:rFonts w:ascii="Calibri" w:hAnsi="Calibri" w:cs="Calibri"/>
                <w:color w:val="000000"/>
              </w:rPr>
            </w:pPr>
            <w:r>
              <w:rPr>
                <w:rFonts w:ascii="Calibri" w:hAnsi="Calibri" w:cs="Calibri"/>
                <w:color w:val="000000"/>
              </w:rPr>
              <w:t xml:space="preserve">Organisations des réunions, frais divers </w:t>
            </w:r>
          </w:p>
        </w:tc>
        <w:tc>
          <w:tcPr>
            <w:tcW w:w="1505" w:type="dxa"/>
            <w:tcBorders>
              <w:top w:val="nil"/>
              <w:left w:val="nil"/>
              <w:bottom w:val="single" w:sz="12" w:space="0" w:color="auto"/>
              <w:right w:val="single" w:sz="12" w:space="0" w:color="auto"/>
            </w:tcBorders>
            <w:vAlign w:val="center"/>
            <w:hideMark/>
          </w:tcPr>
          <w:p w14:paraId="3884DAF1" w14:textId="77777777" w:rsidR="00617EB4" w:rsidRDefault="00617EB4">
            <w:pPr>
              <w:jc w:val="center"/>
              <w:rPr>
                <w:rFonts w:ascii="Calibri" w:hAnsi="Calibri" w:cs="Calibri"/>
                <w:color w:val="000000"/>
              </w:rPr>
            </w:pPr>
            <w:r>
              <w:rPr>
                <w:rFonts w:ascii="Calibri" w:hAnsi="Calibri" w:cs="Calibri"/>
                <w:color w:val="000000"/>
              </w:rPr>
              <w:t>1 500,00 €</w:t>
            </w:r>
          </w:p>
        </w:tc>
        <w:tc>
          <w:tcPr>
            <w:tcW w:w="2044" w:type="dxa"/>
            <w:tcBorders>
              <w:top w:val="nil"/>
              <w:left w:val="nil"/>
              <w:bottom w:val="single" w:sz="12" w:space="0" w:color="auto"/>
              <w:right w:val="single" w:sz="12" w:space="0" w:color="auto"/>
            </w:tcBorders>
            <w:vAlign w:val="center"/>
            <w:hideMark/>
          </w:tcPr>
          <w:p w14:paraId="5BD02425" w14:textId="77777777" w:rsidR="00617EB4" w:rsidRDefault="00617EB4">
            <w:pPr>
              <w:jc w:val="center"/>
              <w:rPr>
                <w:rFonts w:ascii="Calibri" w:hAnsi="Calibri" w:cs="Calibri"/>
                <w:color w:val="000000"/>
              </w:rPr>
            </w:pPr>
            <w:r>
              <w:rPr>
                <w:rFonts w:ascii="Calibri" w:hAnsi="Calibri" w:cs="Calibri"/>
                <w:color w:val="000000"/>
              </w:rPr>
              <w:t> </w:t>
            </w:r>
          </w:p>
        </w:tc>
        <w:tc>
          <w:tcPr>
            <w:tcW w:w="1608" w:type="dxa"/>
            <w:tcBorders>
              <w:top w:val="nil"/>
              <w:left w:val="nil"/>
              <w:bottom w:val="single" w:sz="12" w:space="0" w:color="auto"/>
              <w:right w:val="single" w:sz="12" w:space="0" w:color="auto"/>
            </w:tcBorders>
            <w:vAlign w:val="center"/>
            <w:hideMark/>
          </w:tcPr>
          <w:p w14:paraId="5B077C0D"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492EEC0B"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28223C5D" w14:textId="77777777" w:rsidR="00617EB4" w:rsidRDefault="00617EB4">
            <w:pPr>
              <w:rPr>
                <w:sz w:val="20"/>
                <w:szCs w:val="20"/>
              </w:rPr>
            </w:pPr>
          </w:p>
        </w:tc>
      </w:tr>
      <w:tr w:rsidR="00617EB4" w14:paraId="76A015F6"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75796B21" w14:textId="77777777" w:rsidR="00617EB4" w:rsidRDefault="00617EB4">
            <w:pPr>
              <w:jc w:val="center"/>
              <w:rPr>
                <w:rFonts w:ascii="Calibri" w:hAnsi="Calibri" w:cs="Calibri"/>
                <w:color w:val="000000"/>
              </w:rPr>
            </w:pPr>
            <w:r>
              <w:rPr>
                <w:rFonts w:ascii="Calibri" w:hAnsi="Calibri" w:cs="Calibri"/>
                <w:color w:val="000000"/>
              </w:rPr>
              <w:t xml:space="preserve">Dotation aux amortissements </w:t>
            </w:r>
          </w:p>
        </w:tc>
        <w:tc>
          <w:tcPr>
            <w:tcW w:w="1505" w:type="dxa"/>
            <w:tcBorders>
              <w:top w:val="nil"/>
              <w:left w:val="nil"/>
              <w:bottom w:val="single" w:sz="12" w:space="0" w:color="auto"/>
              <w:right w:val="single" w:sz="12" w:space="0" w:color="auto"/>
            </w:tcBorders>
            <w:vAlign w:val="center"/>
            <w:hideMark/>
          </w:tcPr>
          <w:p w14:paraId="4E0FC833" w14:textId="77777777" w:rsidR="00617EB4" w:rsidRDefault="00617EB4">
            <w:pPr>
              <w:jc w:val="center"/>
              <w:rPr>
                <w:rFonts w:ascii="Calibri" w:hAnsi="Calibri" w:cs="Calibri"/>
                <w:color w:val="000000"/>
              </w:rPr>
            </w:pPr>
            <w:r>
              <w:rPr>
                <w:rFonts w:ascii="Calibri" w:hAnsi="Calibri" w:cs="Calibri"/>
                <w:color w:val="000000"/>
              </w:rPr>
              <w:t>27 000,00 €</w:t>
            </w:r>
          </w:p>
        </w:tc>
        <w:tc>
          <w:tcPr>
            <w:tcW w:w="2044" w:type="dxa"/>
            <w:tcBorders>
              <w:top w:val="nil"/>
              <w:left w:val="nil"/>
              <w:bottom w:val="single" w:sz="12" w:space="0" w:color="auto"/>
              <w:right w:val="single" w:sz="12" w:space="0" w:color="auto"/>
            </w:tcBorders>
            <w:vAlign w:val="center"/>
            <w:hideMark/>
          </w:tcPr>
          <w:p w14:paraId="4E802611" w14:textId="77777777" w:rsidR="00617EB4" w:rsidRDefault="00617EB4">
            <w:pPr>
              <w:jc w:val="center"/>
              <w:rPr>
                <w:rFonts w:ascii="Calibri" w:hAnsi="Calibri" w:cs="Calibri"/>
                <w:color w:val="000000"/>
              </w:rPr>
            </w:pPr>
            <w:r>
              <w:rPr>
                <w:rFonts w:ascii="Calibri" w:hAnsi="Calibri" w:cs="Calibri"/>
                <w:color w:val="000000"/>
              </w:rPr>
              <w:t xml:space="preserve">Amortissement des subventions </w:t>
            </w:r>
          </w:p>
        </w:tc>
        <w:tc>
          <w:tcPr>
            <w:tcW w:w="1608" w:type="dxa"/>
            <w:tcBorders>
              <w:top w:val="nil"/>
              <w:left w:val="nil"/>
              <w:bottom w:val="single" w:sz="12" w:space="0" w:color="auto"/>
              <w:right w:val="single" w:sz="12" w:space="0" w:color="auto"/>
            </w:tcBorders>
            <w:vAlign w:val="center"/>
            <w:hideMark/>
          </w:tcPr>
          <w:p w14:paraId="25413657" w14:textId="182A3B96" w:rsidR="00617EB4" w:rsidRDefault="00617EB4">
            <w:pPr>
              <w:jc w:val="center"/>
              <w:rPr>
                <w:rFonts w:ascii="Calibri" w:hAnsi="Calibri" w:cs="Calibri"/>
                <w:color w:val="000000"/>
              </w:rPr>
            </w:pPr>
            <w:r>
              <w:rPr>
                <w:rFonts w:ascii="Calibri" w:hAnsi="Calibri" w:cs="Calibri"/>
                <w:color w:val="000000"/>
              </w:rPr>
              <w:t>9000</w:t>
            </w:r>
            <w:r w:rsidR="00993B25">
              <w:rPr>
                <w:rFonts w:ascii="Calibri" w:hAnsi="Calibri" w:cs="Calibri"/>
                <w:color w:val="000000"/>
              </w:rPr>
              <w:t xml:space="preserve">, 00 </w:t>
            </w:r>
            <w:r w:rsidR="00993B25">
              <w:rPr>
                <w:rFonts w:ascii="Calibri" w:hAnsi="Calibri" w:cs="Calibri"/>
                <w:color w:val="000000"/>
              </w:rPr>
              <w:t>€</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51CE6B1D"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76F02A9F" w14:textId="77777777" w:rsidR="00617EB4" w:rsidRDefault="00617EB4">
            <w:pPr>
              <w:rPr>
                <w:sz w:val="20"/>
                <w:szCs w:val="20"/>
              </w:rPr>
            </w:pPr>
          </w:p>
        </w:tc>
      </w:tr>
      <w:tr w:rsidR="00617EB4" w14:paraId="50750E19"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shd w:val="clear" w:color="000000" w:fill="ED7D31"/>
            <w:vAlign w:val="center"/>
            <w:hideMark/>
          </w:tcPr>
          <w:p w14:paraId="76777679" w14:textId="77777777" w:rsidR="00617EB4" w:rsidRDefault="00617EB4">
            <w:pPr>
              <w:jc w:val="center"/>
              <w:rPr>
                <w:rFonts w:ascii="Calibri" w:hAnsi="Calibri" w:cs="Calibri"/>
                <w:color w:val="FFFFFF"/>
              </w:rPr>
            </w:pPr>
            <w:r>
              <w:rPr>
                <w:rFonts w:ascii="Calibri" w:hAnsi="Calibri" w:cs="Calibri"/>
                <w:color w:val="FFFFFF"/>
              </w:rPr>
              <w:t xml:space="preserve">Totaux </w:t>
            </w:r>
          </w:p>
        </w:tc>
        <w:tc>
          <w:tcPr>
            <w:tcW w:w="1505" w:type="dxa"/>
            <w:tcBorders>
              <w:top w:val="nil"/>
              <w:left w:val="nil"/>
              <w:bottom w:val="single" w:sz="12" w:space="0" w:color="auto"/>
              <w:right w:val="single" w:sz="12" w:space="0" w:color="auto"/>
            </w:tcBorders>
            <w:shd w:val="clear" w:color="000000" w:fill="ED7D31"/>
            <w:vAlign w:val="center"/>
            <w:hideMark/>
          </w:tcPr>
          <w:p w14:paraId="600906C0" w14:textId="0D3E470B" w:rsidR="00617EB4" w:rsidRDefault="00617EB4">
            <w:pPr>
              <w:jc w:val="center"/>
              <w:rPr>
                <w:rFonts w:ascii="Calibri" w:hAnsi="Calibri" w:cs="Calibri"/>
                <w:color w:val="FFFFFF"/>
              </w:rPr>
            </w:pPr>
            <w:r>
              <w:rPr>
                <w:rFonts w:ascii="Calibri" w:hAnsi="Calibri" w:cs="Calibri"/>
                <w:color w:val="FFFFFF"/>
              </w:rPr>
              <w:t>39 2</w:t>
            </w:r>
            <w:r w:rsidR="00B76BCC">
              <w:rPr>
                <w:rFonts w:ascii="Calibri" w:hAnsi="Calibri" w:cs="Calibri"/>
                <w:color w:val="FFFFFF"/>
              </w:rPr>
              <w:t>50</w:t>
            </w:r>
            <w:r>
              <w:rPr>
                <w:rFonts w:ascii="Calibri" w:hAnsi="Calibri" w:cs="Calibri"/>
                <w:color w:val="FFFFFF"/>
              </w:rPr>
              <w:t>,00 €</w:t>
            </w:r>
          </w:p>
        </w:tc>
        <w:tc>
          <w:tcPr>
            <w:tcW w:w="2044" w:type="dxa"/>
            <w:tcBorders>
              <w:top w:val="nil"/>
              <w:left w:val="nil"/>
              <w:bottom w:val="single" w:sz="12" w:space="0" w:color="auto"/>
              <w:right w:val="single" w:sz="12" w:space="0" w:color="auto"/>
            </w:tcBorders>
            <w:shd w:val="clear" w:color="000000" w:fill="70AD47"/>
            <w:vAlign w:val="center"/>
            <w:hideMark/>
          </w:tcPr>
          <w:p w14:paraId="5554EB42" w14:textId="77777777" w:rsidR="00617EB4" w:rsidRDefault="00617EB4">
            <w:pPr>
              <w:jc w:val="center"/>
              <w:rPr>
                <w:rFonts w:ascii="Calibri" w:hAnsi="Calibri" w:cs="Calibri"/>
                <w:color w:val="FFFFFF"/>
              </w:rPr>
            </w:pPr>
            <w:r>
              <w:rPr>
                <w:rFonts w:ascii="Calibri" w:hAnsi="Calibri" w:cs="Calibri"/>
                <w:color w:val="FFFFFF"/>
              </w:rPr>
              <w:t> </w:t>
            </w:r>
          </w:p>
        </w:tc>
        <w:tc>
          <w:tcPr>
            <w:tcW w:w="1608" w:type="dxa"/>
            <w:tcBorders>
              <w:top w:val="nil"/>
              <w:left w:val="nil"/>
              <w:bottom w:val="single" w:sz="12" w:space="0" w:color="auto"/>
              <w:right w:val="single" w:sz="12" w:space="0" w:color="auto"/>
            </w:tcBorders>
            <w:shd w:val="clear" w:color="000000" w:fill="70AD47"/>
            <w:vAlign w:val="center"/>
            <w:hideMark/>
          </w:tcPr>
          <w:p w14:paraId="35D23851" w14:textId="77777777" w:rsidR="00617EB4" w:rsidRDefault="00617EB4">
            <w:pPr>
              <w:jc w:val="center"/>
              <w:rPr>
                <w:rFonts w:ascii="Calibri" w:hAnsi="Calibri" w:cs="Calibri"/>
                <w:color w:val="FFFFFF"/>
              </w:rPr>
            </w:pPr>
            <w:r>
              <w:rPr>
                <w:rFonts w:ascii="Calibri" w:hAnsi="Calibri" w:cs="Calibri"/>
                <w:color w:val="FFFFFF"/>
              </w:rPr>
              <w:t>9000</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5CC74022"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62F447D8" w14:textId="77777777" w:rsidR="00617EB4" w:rsidRDefault="00617EB4">
            <w:pPr>
              <w:rPr>
                <w:sz w:val="20"/>
                <w:szCs w:val="20"/>
              </w:rPr>
            </w:pPr>
          </w:p>
        </w:tc>
      </w:tr>
      <w:tr w:rsidR="00617EB4" w14:paraId="1C162158" w14:textId="77777777" w:rsidTr="00993B25">
        <w:trPr>
          <w:gridAfter w:val="1"/>
          <w:wAfter w:w="16" w:type="dxa"/>
          <w:trHeight w:val="406"/>
        </w:trPr>
        <w:tc>
          <w:tcPr>
            <w:tcW w:w="11096" w:type="dxa"/>
            <w:gridSpan w:val="7"/>
            <w:tcBorders>
              <w:top w:val="single" w:sz="12" w:space="0" w:color="auto"/>
              <w:left w:val="single" w:sz="12" w:space="0" w:color="auto"/>
              <w:bottom w:val="single" w:sz="12" w:space="0" w:color="auto"/>
              <w:right w:val="single" w:sz="12" w:space="0" w:color="000000"/>
            </w:tcBorders>
            <w:shd w:val="clear" w:color="000000" w:fill="4472C4"/>
            <w:vAlign w:val="center"/>
            <w:hideMark/>
          </w:tcPr>
          <w:p w14:paraId="35AAACC0" w14:textId="77777777" w:rsidR="00617EB4" w:rsidRDefault="00617EB4">
            <w:pPr>
              <w:jc w:val="center"/>
              <w:rPr>
                <w:rFonts w:ascii="Calibri" w:hAnsi="Calibri" w:cs="Calibri"/>
                <w:color w:val="FFFFFF"/>
                <w:sz w:val="36"/>
                <w:szCs w:val="36"/>
              </w:rPr>
            </w:pPr>
            <w:r>
              <w:rPr>
                <w:rFonts w:ascii="Calibri" w:hAnsi="Calibri" w:cs="Calibri"/>
                <w:color w:val="FFFFFF"/>
                <w:sz w:val="36"/>
                <w:szCs w:val="36"/>
              </w:rPr>
              <w:t xml:space="preserve">Programme d'action du Contrat Local de Santé porté par la Communauté d'Agglomération du Grand Sénonais </w:t>
            </w:r>
          </w:p>
        </w:tc>
        <w:tc>
          <w:tcPr>
            <w:tcW w:w="56" w:type="dxa"/>
            <w:gridSpan w:val="2"/>
            <w:tcMar>
              <w:top w:w="0" w:type="dxa"/>
              <w:left w:w="0" w:type="dxa"/>
              <w:bottom w:w="0" w:type="dxa"/>
              <w:right w:w="0" w:type="dxa"/>
            </w:tcMar>
            <w:vAlign w:val="center"/>
            <w:hideMark/>
          </w:tcPr>
          <w:p w14:paraId="6FB20927" w14:textId="77777777" w:rsidR="00617EB4" w:rsidRDefault="00617EB4">
            <w:pPr>
              <w:rPr>
                <w:sz w:val="20"/>
                <w:szCs w:val="20"/>
              </w:rPr>
            </w:pPr>
          </w:p>
        </w:tc>
      </w:tr>
      <w:tr w:rsidR="00617EB4" w14:paraId="6D48F045"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1809F055" w14:textId="77777777" w:rsidR="00617EB4" w:rsidRDefault="00617EB4">
            <w:pPr>
              <w:jc w:val="center"/>
              <w:rPr>
                <w:rFonts w:ascii="Calibri" w:hAnsi="Calibri" w:cs="Calibri"/>
                <w:color w:val="000000"/>
              </w:rPr>
            </w:pPr>
            <w:r>
              <w:rPr>
                <w:rFonts w:ascii="Calibri" w:hAnsi="Calibri" w:cs="Calibri"/>
                <w:color w:val="000000"/>
              </w:rPr>
              <w:t xml:space="preserve">Marches solidaires </w:t>
            </w:r>
            <w:proofErr w:type="gramStart"/>
            <w:r>
              <w:rPr>
                <w:rFonts w:ascii="Calibri" w:hAnsi="Calibri" w:cs="Calibri"/>
                <w:color w:val="000000"/>
              </w:rPr>
              <w:t>2026  "</w:t>
            </w:r>
            <w:proofErr w:type="gramEnd"/>
            <w:r>
              <w:rPr>
                <w:rFonts w:ascii="Calibri" w:hAnsi="Calibri" w:cs="Calibri"/>
                <w:color w:val="000000"/>
              </w:rPr>
              <w:t xml:space="preserve">Tous en rose" : </w:t>
            </w:r>
          </w:p>
        </w:tc>
        <w:tc>
          <w:tcPr>
            <w:tcW w:w="1505" w:type="dxa"/>
            <w:tcBorders>
              <w:top w:val="nil"/>
              <w:left w:val="nil"/>
              <w:bottom w:val="single" w:sz="12" w:space="0" w:color="auto"/>
              <w:right w:val="single" w:sz="12" w:space="0" w:color="auto"/>
            </w:tcBorders>
            <w:vAlign w:val="center"/>
            <w:hideMark/>
          </w:tcPr>
          <w:p w14:paraId="5055ABAB" w14:textId="77777777" w:rsidR="00617EB4" w:rsidRDefault="00617EB4">
            <w:pPr>
              <w:jc w:val="center"/>
              <w:rPr>
                <w:rFonts w:ascii="Calibri" w:hAnsi="Calibri" w:cs="Calibri"/>
                <w:color w:val="000000"/>
              </w:rPr>
            </w:pPr>
            <w:r>
              <w:rPr>
                <w:rFonts w:ascii="Calibri" w:hAnsi="Calibri" w:cs="Calibri"/>
                <w:color w:val="000000"/>
              </w:rPr>
              <w:t>23 000,00 €</w:t>
            </w:r>
          </w:p>
        </w:tc>
        <w:tc>
          <w:tcPr>
            <w:tcW w:w="2044" w:type="dxa"/>
            <w:tcBorders>
              <w:top w:val="nil"/>
              <w:left w:val="nil"/>
              <w:bottom w:val="single" w:sz="12" w:space="0" w:color="auto"/>
              <w:right w:val="single" w:sz="12" w:space="0" w:color="auto"/>
            </w:tcBorders>
            <w:vAlign w:val="center"/>
            <w:hideMark/>
          </w:tcPr>
          <w:p w14:paraId="01A7A135" w14:textId="77777777" w:rsidR="00617EB4" w:rsidRDefault="00617EB4">
            <w:pPr>
              <w:jc w:val="center"/>
              <w:rPr>
                <w:rFonts w:ascii="Calibri" w:hAnsi="Calibri" w:cs="Calibri"/>
                <w:color w:val="000000"/>
              </w:rPr>
            </w:pPr>
            <w:r>
              <w:rPr>
                <w:rFonts w:ascii="Calibri" w:hAnsi="Calibri" w:cs="Calibri"/>
                <w:color w:val="000000"/>
              </w:rPr>
              <w:t>Ventes des tee-shirts</w:t>
            </w:r>
          </w:p>
        </w:tc>
        <w:tc>
          <w:tcPr>
            <w:tcW w:w="1608" w:type="dxa"/>
            <w:tcBorders>
              <w:top w:val="nil"/>
              <w:left w:val="nil"/>
              <w:bottom w:val="single" w:sz="12" w:space="0" w:color="auto"/>
              <w:right w:val="single" w:sz="12" w:space="0" w:color="auto"/>
            </w:tcBorders>
            <w:vAlign w:val="center"/>
            <w:hideMark/>
          </w:tcPr>
          <w:p w14:paraId="16E018D1" w14:textId="77777777" w:rsidR="00617EB4" w:rsidRDefault="00617EB4">
            <w:pPr>
              <w:jc w:val="center"/>
              <w:rPr>
                <w:rFonts w:ascii="Calibri" w:hAnsi="Calibri" w:cs="Calibri"/>
                <w:color w:val="000000"/>
              </w:rPr>
            </w:pPr>
            <w:r>
              <w:rPr>
                <w:rFonts w:ascii="Calibri" w:hAnsi="Calibri" w:cs="Calibri"/>
                <w:color w:val="000000"/>
              </w:rPr>
              <w:t>?</w:t>
            </w:r>
          </w:p>
        </w:tc>
        <w:tc>
          <w:tcPr>
            <w:tcW w:w="2905" w:type="dxa"/>
            <w:gridSpan w:val="3"/>
            <w:vMerge w:val="restart"/>
            <w:tcBorders>
              <w:top w:val="single" w:sz="12" w:space="0" w:color="auto"/>
              <w:left w:val="single" w:sz="12" w:space="0" w:color="auto"/>
              <w:bottom w:val="nil"/>
              <w:right w:val="single" w:sz="12" w:space="0" w:color="000000"/>
            </w:tcBorders>
            <w:shd w:val="clear" w:color="000000" w:fill="FFC7CE"/>
            <w:vAlign w:val="center"/>
            <w:hideMark/>
          </w:tcPr>
          <w:p w14:paraId="2E24C3FF" w14:textId="77777777" w:rsidR="00617EB4" w:rsidRDefault="00617EB4">
            <w:pPr>
              <w:jc w:val="center"/>
              <w:rPr>
                <w:rFonts w:ascii="Aptos Narrow" w:hAnsi="Aptos Narrow" w:cs="Times New Roman"/>
                <w:color w:val="9C0006"/>
              </w:rPr>
            </w:pPr>
            <w:r>
              <w:rPr>
                <w:rFonts w:ascii="Aptos Narrow" w:hAnsi="Aptos Narrow"/>
                <w:color w:val="9C0006"/>
              </w:rPr>
              <w:t>44 900,00 €</w:t>
            </w:r>
          </w:p>
        </w:tc>
        <w:tc>
          <w:tcPr>
            <w:tcW w:w="56" w:type="dxa"/>
            <w:gridSpan w:val="2"/>
            <w:tcMar>
              <w:top w:w="0" w:type="dxa"/>
              <w:left w:w="0" w:type="dxa"/>
              <w:bottom w:w="0" w:type="dxa"/>
              <w:right w:w="0" w:type="dxa"/>
            </w:tcMar>
            <w:vAlign w:val="center"/>
            <w:hideMark/>
          </w:tcPr>
          <w:p w14:paraId="537FEA36" w14:textId="77777777" w:rsidR="00617EB4" w:rsidRDefault="00617EB4">
            <w:pPr>
              <w:rPr>
                <w:sz w:val="20"/>
                <w:szCs w:val="20"/>
              </w:rPr>
            </w:pPr>
          </w:p>
        </w:tc>
      </w:tr>
      <w:tr w:rsidR="00617EB4" w14:paraId="63C9F1A9"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223676B6" w14:textId="77777777" w:rsidR="00617EB4" w:rsidRDefault="00617EB4">
            <w:pPr>
              <w:jc w:val="center"/>
              <w:rPr>
                <w:rFonts w:ascii="Calibri" w:hAnsi="Calibri" w:cs="Calibri"/>
                <w:color w:val="000000"/>
              </w:rPr>
            </w:pPr>
            <w:r>
              <w:rPr>
                <w:rFonts w:ascii="Calibri" w:hAnsi="Calibri" w:cs="Calibri"/>
                <w:color w:val="000000"/>
              </w:rPr>
              <w:t xml:space="preserve">Salons et congrès des médecins : </w:t>
            </w:r>
          </w:p>
        </w:tc>
        <w:tc>
          <w:tcPr>
            <w:tcW w:w="1505" w:type="dxa"/>
            <w:tcBorders>
              <w:top w:val="nil"/>
              <w:left w:val="nil"/>
              <w:bottom w:val="single" w:sz="12" w:space="0" w:color="auto"/>
              <w:right w:val="single" w:sz="12" w:space="0" w:color="auto"/>
            </w:tcBorders>
            <w:vAlign w:val="center"/>
            <w:hideMark/>
          </w:tcPr>
          <w:p w14:paraId="1E74F079" w14:textId="77777777" w:rsidR="00617EB4" w:rsidRDefault="00617EB4">
            <w:pPr>
              <w:jc w:val="center"/>
              <w:rPr>
                <w:rFonts w:ascii="Calibri" w:hAnsi="Calibri" w:cs="Calibri"/>
                <w:color w:val="000000"/>
              </w:rPr>
            </w:pPr>
            <w:r>
              <w:rPr>
                <w:rFonts w:ascii="Calibri" w:hAnsi="Calibri" w:cs="Calibri"/>
                <w:color w:val="000000"/>
              </w:rPr>
              <w:t>2 000,00 €</w:t>
            </w:r>
          </w:p>
        </w:tc>
        <w:tc>
          <w:tcPr>
            <w:tcW w:w="2044" w:type="dxa"/>
            <w:tcBorders>
              <w:top w:val="nil"/>
              <w:left w:val="nil"/>
              <w:bottom w:val="single" w:sz="12" w:space="0" w:color="auto"/>
              <w:right w:val="single" w:sz="12" w:space="0" w:color="auto"/>
            </w:tcBorders>
            <w:vAlign w:val="center"/>
            <w:hideMark/>
          </w:tcPr>
          <w:p w14:paraId="073A08F5" w14:textId="77777777" w:rsidR="00617EB4" w:rsidRDefault="00617EB4">
            <w:pPr>
              <w:jc w:val="center"/>
              <w:rPr>
                <w:rFonts w:ascii="Calibri" w:hAnsi="Calibri" w:cs="Calibri"/>
                <w:color w:val="000000"/>
              </w:rPr>
            </w:pPr>
            <w:r>
              <w:rPr>
                <w:rFonts w:ascii="Calibri" w:hAnsi="Calibri" w:cs="Calibri"/>
                <w:color w:val="000000"/>
              </w:rPr>
              <w:t> </w:t>
            </w:r>
          </w:p>
        </w:tc>
        <w:tc>
          <w:tcPr>
            <w:tcW w:w="1608" w:type="dxa"/>
            <w:tcBorders>
              <w:top w:val="nil"/>
              <w:left w:val="nil"/>
              <w:bottom w:val="single" w:sz="12" w:space="0" w:color="auto"/>
              <w:right w:val="single" w:sz="12" w:space="0" w:color="auto"/>
            </w:tcBorders>
            <w:vAlign w:val="center"/>
            <w:hideMark/>
          </w:tcPr>
          <w:p w14:paraId="58765EEB"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502434E3"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180DC84D" w14:textId="77777777" w:rsidR="00617EB4" w:rsidRDefault="00617EB4">
            <w:pPr>
              <w:rPr>
                <w:sz w:val="20"/>
                <w:szCs w:val="20"/>
              </w:rPr>
            </w:pPr>
          </w:p>
        </w:tc>
      </w:tr>
      <w:tr w:rsidR="00617EB4" w14:paraId="46C9974E"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5548C95E" w14:textId="77777777" w:rsidR="00617EB4" w:rsidRDefault="00617EB4">
            <w:pPr>
              <w:jc w:val="center"/>
              <w:rPr>
                <w:rFonts w:ascii="Calibri" w:hAnsi="Calibri" w:cs="Calibri"/>
                <w:color w:val="000000"/>
              </w:rPr>
            </w:pPr>
            <w:r>
              <w:rPr>
                <w:rFonts w:ascii="Calibri" w:hAnsi="Calibri" w:cs="Calibri"/>
                <w:color w:val="000000"/>
              </w:rPr>
              <w:t>Achat pour les actions de prévention, ateliers nutrition, formations…</w:t>
            </w:r>
          </w:p>
        </w:tc>
        <w:tc>
          <w:tcPr>
            <w:tcW w:w="1505" w:type="dxa"/>
            <w:tcBorders>
              <w:top w:val="nil"/>
              <w:left w:val="nil"/>
              <w:bottom w:val="single" w:sz="12" w:space="0" w:color="auto"/>
              <w:right w:val="single" w:sz="12" w:space="0" w:color="auto"/>
            </w:tcBorders>
            <w:vAlign w:val="center"/>
            <w:hideMark/>
          </w:tcPr>
          <w:p w14:paraId="64620758" w14:textId="77777777" w:rsidR="00617EB4" w:rsidRDefault="00617EB4">
            <w:pPr>
              <w:jc w:val="center"/>
              <w:rPr>
                <w:rFonts w:ascii="Calibri" w:hAnsi="Calibri" w:cs="Calibri"/>
                <w:color w:val="000000"/>
              </w:rPr>
            </w:pPr>
            <w:r>
              <w:rPr>
                <w:rFonts w:ascii="Calibri" w:hAnsi="Calibri" w:cs="Calibri"/>
                <w:color w:val="000000"/>
              </w:rPr>
              <w:t>3 000,00 €</w:t>
            </w:r>
          </w:p>
        </w:tc>
        <w:tc>
          <w:tcPr>
            <w:tcW w:w="2044" w:type="dxa"/>
            <w:tcBorders>
              <w:top w:val="nil"/>
              <w:left w:val="nil"/>
              <w:bottom w:val="single" w:sz="12" w:space="0" w:color="auto"/>
              <w:right w:val="single" w:sz="12" w:space="0" w:color="auto"/>
            </w:tcBorders>
            <w:vAlign w:val="center"/>
            <w:hideMark/>
          </w:tcPr>
          <w:p w14:paraId="1FC09FE6" w14:textId="77777777" w:rsidR="00617EB4" w:rsidRDefault="00617EB4">
            <w:pPr>
              <w:jc w:val="center"/>
              <w:rPr>
                <w:rFonts w:ascii="Calibri" w:hAnsi="Calibri" w:cs="Calibri"/>
                <w:color w:val="000000"/>
              </w:rPr>
            </w:pPr>
            <w:r>
              <w:rPr>
                <w:rFonts w:ascii="Calibri" w:hAnsi="Calibri" w:cs="Calibri"/>
                <w:color w:val="000000"/>
              </w:rPr>
              <w:t>ARS ambassadeurs santé</w:t>
            </w:r>
          </w:p>
        </w:tc>
        <w:tc>
          <w:tcPr>
            <w:tcW w:w="1608" w:type="dxa"/>
            <w:tcBorders>
              <w:top w:val="nil"/>
              <w:left w:val="nil"/>
              <w:bottom w:val="single" w:sz="12" w:space="0" w:color="auto"/>
              <w:right w:val="single" w:sz="12" w:space="0" w:color="auto"/>
            </w:tcBorders>
            <w:vAlign w:val="center"/>
            <w:hideMark/>
          </w:tcPr>
          <w:p w14:paraId="3BC307BB" w14:textId="77777777" w:rsidR="00617EB4" w:rsidRDefault="00617EB4">
            <w:pPr>
              <w:jc w:val="center"/>
              <w:rPr>
                <w:rFonts w:ascii="Calibri" w:hAnsi="Calibri" w:cs="Calibri"/>
                <w:color w:val="000000"/>
              </w:rPr>
            </w:pPr>
            <w:r>
              <w:rPr>
                <w:rFonts w:ascii="Calibri" w:hAnsi="Calibri" w:cs="Calibri"/>
                <w:color w:val="000000"/>
              </w:rPr>
              <w:t>2 500,00 €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440C6E38"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2BED39A7" w14:textId="77777777" w:rsidR="00617EB4" w:rsidRDefault="00617EB4">
            <w:pPr>
              <w:rPr>
                <w:sz w:val="20"/>
                <w:szCs w:val="20"/>
              </w:rPr>
            </w:pPr>
          </w:p>
        </w:tc>
      </w:tr>
      <w:tr w:rsidR="00617EB4" w14:paraId="7A14C539" w14:textId="77777777" w:rsidTr="00993B25">
        <w:trPr>
          <w:gridAfter w:val="1"/>
          <w:wAfter w:w="18" w:type="dxa"/>
          <w:trHeight w:val="406"/>
        </w:trPr>
        <w:tc>
          <w:tcPr>
            <w:tcW w:w="3032" w:type="dxa"/>
            <w:tcBorders>
              <w:top w:val="nil"/>
              <w:left w:val="single" w:sz="12" w:space="0" w:color="auto"/>
              <w:bottom w:val="nil"/>
              <w:right w:val="single" w:sz="12" w:space="0" w:color="auto"/>
            </w:tcBorders>
            <w:vAlign w:val="center"/>
            <w:hideMark/>
          </w:tcPr>
          <w:p w14:paraId="3EBE6ACC" w14:textId="77777777" w:rsidR="00617EB4" w:rsidRDefault="00617EB4">
            <w:pPr>
              <w:jc w:val="center"/>
              <w:rPr>
                <w:rFonts w:ascii="Calibri" w:hAnsi="Calibri" w:cs="Calibri"/>
                <w:color w:val="000000"/>
              </w:rPr>
            </w:pPr>
            <w:proofErr w:type="gramStart"/>
            <w:r>
              <w:rPr>
                <w:rFonts w:ascii="Calibri" w:hAnsi="Calibri" w:cs="Calibri"/>
                <w:color w:val="000000"/>
              </w:rPr>
              <w:t>Achat matériels</w:t>
            </w:r>
            <w:proofErr w:type="gramEnd"/>
            <w:r>
              <w:rPr>
                <w:rFonts w:ascii="Calibri" w:hAnsi="Calibri" w:cs="Calibri"/>
                <w:color w:val="000000"/>
              </w:rPr>
              <w:t xml:space="preserve"> et petites fournitures</w:t>
            </w:r>
          </w:p>
        </w:tc>
        <w:tc>
          <w:tcPr>
            <w:tcW w:w="1505" w:type="dxa"/>
            <w:tcBorders>
              <w:top w:val="nil"/>
              <w:left w:val="nil"/>
              <w:bottom w:val="nil"/>
              <w:right w:val="single" w:sz="12" w:space="0" w:color="auto"/>
            </w:tcBorders>
            <w:vAlign w:val="center"/>
            <w:hideMark/>
          </w:tcPr>
          <w:p w14:paraId="2A13D752" w14:textId="77777777" w:rsidR="00617EB4" w:rsidRDefault="00617EB4">
            <w:pPr>
              <w:jc w:val="center"/>
              <w:rPr>
                <w:rFonts w:ascii="Calibri" w:hAnsi="Calibri" w:cs="Calibri"/>
                <w:color w:val="000000"/>
              </w:rPr>
            </w:pPr>
            <w:r>
              <w:rPr>
                <w:rFonts w:ascii="Calibri" w:hAnsi="Calibri" w:cs="Calibri"/>
                <w:color w:val="000000"/>
              </w:rPr>
              <w:t>250,00 €</w:t>
            </w:r>
          </w:p>
        </w:tc>
        <w:tc>
          <w:tcPr>
            <w:tcW w:w="2044" w:type="dxa"/>
            <w:tcBorders>
              <w:top w:val="nil"/>
              <w:left w:val="nil"/>
              <w:bottom w:val="nil"/>
              <w:right w:val="single" w:sz="12" w:space="0" w:color="auto"/>
            </w:tcBorders>
            <w:vAlign w:val="center"/>
            <w:hideMark/>
          </w:tcPr>
          <w:p w14:paraId="56383C01" w14:textId="77777777" w:rsidR="00617EB4" w:rsidRDefault="00617EB4">
            <w:pPr>
              <w:jc w:val="center"/>
              <w:rPr>
                <w:rFonts w:ascii="Calibri" w:hAnsi="Calibri" w:cs="Calibri"/>
                <w:color w:val="000000"/>
              </w:rPr>
            </w:pPr>
            <w:r>
              <w:rPr>
                <w:rFonts w:ascii="Calibri" w:hAnsi="Calibri" w:cs="Calibri"/>
                <w:color w:val="000000"/>
              </w:rPr>
              <w:t> </w:t>
            </w:r>
          </w:p>
        </w:tc>
        <w:tc>
          <w:tcPr>
            <w:tcW w:w="1608" w:type="dxa"/>
            <w:tcBorders>
              <w:top w:val="nil"/>
              <w:left w:val="nil"/>
              <w:bottom w:val="nil"/>
              <w:right w:val="single" w:sz="12" w:space="0" w:color="auto"/>
            </w:tcBorders>
            <w:vAlign w:val="center"/>
            <w:hideMark/>
          </w:tcPr>
          <w:p w14:paraId="4662DCB0"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nil"/>
              <w:right w:val="single" w:sz="12" w:space="0" w:color="auto"/>
            </w:tcBorders>
            <w:tcMar>
              <w:top w:w="0" w:type="dxa"/>
              <w:left w:w="0" w:type="dxa"/>
              <w:bottom w:w="0" w:type="dxa"/>
              <w:right w:w="0" w:type="dxa"/>
            </w:tcMar>
            <w:vAlign w:val="center"/>
            <w:hideMark/>
          </w:tcPr>
          <w:p w14:paraId="59B91C1C"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2D7845A6" w14:textId="77777777" w:rsidR="00617EB4" w:rsidRDefault="00617EB4">
            <w:pPr>
              <w:rPr>
                <w:sz w:val="20"/>
                <w:szCs w:val="20"/>
              </w:rPr>
            </w:pPr>
          </w:p>
        </w:tc>
      </w:tr>
      <w:tr w:rsidR="00617EB4" w14:paraId="6665286C" w14:textId="77777777" w:rsidTr="00993B25">
        <w:trPr>
          <w:gridAfter w:val="1"/>
          <w:wAfter w:w="18" w:type="dxa"/>
          <w:trHeight w:val="406"/>
        </w:trPr>
        <w:tc>
          <w:tcPr>
            <w:tcW w:w="3032" w:type="dxa"/>
            <w:vMerge w:val="restart"/>
            <w:tcBorders>
              <w:top w:val="single" w:sz="12" w:space="0" w:color="auto"/>
              <w:left w:val="single" w:sz="12" w:space="0" w:color="auto"/>
              <w:bottom w:val="single" w:sz="12" w:space="0" w:color="000000"/>
              <w:right w:val="single" w:sz="12" w:space="0" w:color="auto"/>
            </w:tcBorders>
            <w:vAlign w:val="center"/>
            <w:hideMark/>
          </w:tcPr>
          <w:p w14:paraId="09DF0655" w14:textId="77777777" w:rsidR="00617EB4" w:rsidRDefault="00617EB4">
            <w:pPr>
              <w:jc w:val="center"/>
              <w:rPr>
                <w:rFonts w:ascii="Calibri" w:hAnsi="Calibri" w:cs="Calibri"/>
                <w:color w:val="000000"/>
              </w:rPr>
            </w:pPr>
            <w:r>
              <w:rPr>
                <w:rFonts w:ascii="Calibri" w:hAnsi="Calibri" w:cs="Calibri"/>
                <w:color w:val="000000"/>
              </w:rPr>
              <w:t xml:space="preserve">Prestations externes (intervenants ateliers, formateurs) </w:t>
            </w:r>
            <w:r>
              <w:rPr>
                <w:rFonts w:ascii="Calibri" w:hAnsi="Calibri" w:cs="Calibri"/>
                <w:color w:val="000000"/>
              </w:rPr>
              <w:br/>
              <w:t>Santé mentale des Jeunes : 4 000 €</w:t>
            </w:r>
            <w:r>
              <w:rPr>
                <w:rFonts w:ascii="Calibri" w:hAnsi="Calibri" w:cs="Calibri"/>
                <w:color w:val="000000"/>
              </w:rPr>
              <w:br/>
              <w:t>SISM : 1 500 €</w:t>
            </w:r>
            <w:r>
              <w:rPr>
                <w:rFonts w:ascii="Calibri" w:hAnsi="Calibri" w:cs="Calibri"/>
                <w:color w:val="000000"/>
              </w:rPr>
              <w:br/>
              <w:t>Sport santé (APA) : 2 000 €</w:t>
            </w:r>
          </w:p>
        </w:tc>
        <w:tc>
          <w:tcPr>
            <w:tcW w:w="1505" w:type="dxa"/>
            <w:vMerge w:val="restart"/>
            <w:tcBorders>
              <w:top w:val="single" w:sz="12" w:space="0" w:color="auto"/>
              <w:left w:val="single" w:sz="12" w:space="0" w:color="auto"/>
              <w:bottom w:val="single" w:sz="12" w:space="0" w:color="000000"/>
              <w:right w:val="single" w:sz="12" w:space="0" w:color="auto"/>
            </w:tcBorders>
            <w:vAlign w:val="center"/>
            <w:hideMark/>
          </w:tcPr>
          <w:p w14:paraId="4C02B0A3" w14:textId="77777777" w:rsidR="00617EB4" w:rsidRDefault="00617EB4">
            <w:pPr>
              <w:jc w:val="center"/>
              <w:rPr>
                <w:rFonts w:ascii="Calibri" w:hAnsi="Calibri" w:cs="Calibri"/>
                <w:color w:val="000000"/>
              </w:rPr>
            </w:pPr>
            <w:r>
              <w:rPr>
                <w:rFonts w:ascii="Calibri" w:hAnsi="Calibri" w:cs="Calibri"/>
                <w:color w:val="000000"/>
              </w:rPr>
              <w:t>10 000,00 €</w:t>
            </w:r>
          </w:p>
        </w:tc>
        <w:tc>
          <w:tcPr>
            <w:tcW w:w="2044" w:type="dxa"/>
            <w:vMerge w:val="restart"/>
            <w:tcBorders>
              <w:top w:val="single" w:sz="12" w:space="0" w:color="auto"/>
              <w:left w:val="single" w:sz="12" w:space="0" w:color="auto"/>
              <w:bottom w:val="single" w:sz="12" w:space="0" w:color="000000"/>
              <w:right w:val="single" w:sz="12" w:space="0" w:color="auto"/>
            </w:tcBorders>
            <w:vAlign w:val="center"/>
            <w:hideMark/>
          </w:tcPr>
          <w:p w14:paraId="1E3F3B2D" w14:textId="77777777" w:rsidR="00617EB4" w:rsidRDefault="00617EB4">
            <w:pPr>
              <w:jc w:val="center"/>
              <w:rPr>
                <w:rFonts w:ascii="Calibri" w:hAnsi="Calibri" w:cs="Calibri"/>
                <w:color w:val="000000"/>
              </w:rPr>
            </w:pPr>
            <w:r>
              <w:rPr>
                <w:rFonts w:ascii="Calibri" w:hAnsi="Calibri" w:cs="Calibri"/>
                <w:color w:val="000000"/>
              </w:rPr>
              <w:t>ARS + CPAM</w:t>
            </w:r>
          </w:p>
        </w:tc>
        <w:tc>
          <w:tcPr>
            <w:tcW w:w="1608" w:type="dxa"/>
            <w:vMerge w:val="restart"/>
            <w:tcBorders>
              <w:top w:val="single" w:sz="12" w:space="0" w:color="auto"/>
              <w:left w:val="single" w:sz="12" w:space="0" w:color="auto"/>
              <w:bottom w:val="single" w:sz="12" w:space="0" w:color="000000"/>
              <w:right w:val="single" w:sz="12" w:space="0" w:color="auto"/>
            </w:tcBorders>
            <w:vAlign w:val="center"/>
            <w:hideMark/>
          </w:tcPr>
          <w:p w14:paraId="7ACDFEA4" w14:textId="77777777" w:rsidR="00617EB4" w:rsidRDefault="00617EB4">
            <w:pPr>
              <w:jc w:val="center"/>
              <w:rPr>
                <w:rFonts w:ascii="Calibri" w:hAnsi="Calibri" w:cs="Calibri"/>
                <w:color w:val="000000"/>
              </w:rPr>
            </w:pPr>
            <w:r>
              <w:rPr>
                <w:rFonts w:ascii="Calibri" w:hAnsi="Calibri" w:cs="Calibri"/>
                <w:color w:val="000000"/>
              </w:rPr>
              <w:t>7 500,00 €</w:t>
            </w:r>
          </w:p>
        </w:tc>
        <w:tc>
          <w:tcPr>
            <w:tcW w:w="2905" w:type="dxa"/>
            <w:gridSpan w:val="3"/>
            <w:vMerge/>
            <w:tcBorders>
              <w:top w:val="single" w:sz="12" w:space="0" w:color="auto"/>
              <w:left w:val="single" w:sz="12" w:space="0" w:color="auto"/>
              <w:bottom w:val="single" w:sz="12" w:space="0" w:color="000000"/>
              <w:right w:val="single" w:sz="12" w:space="0" w:color="auto"/>
            </w:tcBorders>
            <w:tcMar>
              <w:top w:w="0" w:type="dxa"/>
              <w:left w:w="0" w:type="dxa"/>
              <w:bottom w:w="0" w:type="dxa"/>
              <w:right w:w="0" w:type="dxa"/>
            </w:tcMar>
            <w:vAlign w:val="center"/>
            <w:hideMark/>
          </w:tcPr>
          <w:p w14:paraId="4BAEDCDA"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0E5B7A07" w14:textId="77777777" w:rsidR="00617EB4" w:rsidRDefault="00617EB4">
            <w:pPr>
              <w:rPr>
                <w:sz w:val="20"/>
                <w:szCs w:val="20"/>
              </w:rPr>
            </w:pPr>
          </w:p>
        </w:tc>
      </w:tr>
      <w:tr w:rsidR="00617EB4" w14:paraId="6B992AD2" w14:textId="77777777" w:rsidTr="00993B25">
        <w:trPr>
          <w:trHeight w:val="406"/>
        </w:trPr>
        <w:tc>
          <w:tcPr>
            <w:tcW w:w="3032" w:type="dxa"/>
            <w:vMerge/>
            <w:tcBorders>
              <w:top w:val="single" w:sz="12" w:space="0" w:color="auto"/>
              <w:left w:val="single" w:sz="12" w:space="0" w:color="auto"/>
              <w:bottom w:val="single" w:sz="12" w:space="0" w:color="000000"/>
              <w:right w:val="single" w:sz="12" w:space="0" w:color="auto"/>
            </w:tcBorders>
            <w:vAlign w:val="center"/>
            <w:hideMark/>
          </w:tcPr>
          <w:p w14:paraId="51CC94D2" w14:textId="77777777" w:rsidR="00617EB4" w:rsidRDefault="00617EB4">
            <w:pPr>
              <w:rPr>
                <w:rFonts w:ascii="Calibri" w:hAnsi="Calibri" w:cs="Calibri"/>
                <w:color w:val="000000"/>
              </w:rPr>
            </w:pPr>
          </w:p>
        </w:tc>
        <w:tc>
          <w:tcPr>
            <w:tcW w:w="1505" w:type="dxa"/>
            <w:vMerge/>
            <w:tcBorders>
              <w:top w:val="single" w:sz="12" w:space="0" w:color="auto"/>
              <w:left w:val="single" w:sz="12" w:space="0" w:color="auto"/>
              <w:bottom w:val="single" w:sz="12" w:space="0" w:color="000000"/>
              <w:right w:val="single" w:sz="12" w:space="0" w:color="auto"/>
            </w:tcBorders>
            <w:vAlign w:val="center"/>
            <w:hideMark/>
          </w:tcPr>
          <w:p w14:paraId="3076111C" w14:textId="77777777" w:rsidR="00617EB4" w:rsidRDefault="00617EB4">
            <w:pPr>
              <w:rPr>
                <w:rFonts w:ascii="Calibri" w:hAnsi="Calibri" w:cs="Calibri"/>
                <w:color w:val="000000"/>
              </w:rPr>
            </w:pPr>
          </w:p>
        </w:tc>
        <w:tc>
          <w:tcPr>
            <w:tcW w:w="2044" w:type="dxa"/>
            <w:vMerge/>
            <w:tcBorders>
              <w:top w:val="single" w:sz="12" w:space="0" w:color="auto"/>
              <w:left w:val="single" w:sz="12" w:space="0" w:color="auto"/>
              <w:bottom w:val="single" w:sz="12" w:space="0" w:color="000000"/>
              <w:right w:val="single" w:sz="12" w:space="0" w:color="auto"/>
            </w:tcBorders>
            <w:vAlign w:val="center"/>
            <w:hideMark/>
          </w:tcPr>
          <w:p w14:paraId="3C7B2A53" w14:textId="77777777" w:rsidR="00617EB4" w:rsidRDefault="00617EB4">
            <w:pPr>
              <w:rPr>
                <w:rFonts w:ascii="Calibri" w:hAnsi="Calibri" w:cs="Calibri"/>
                <w:color w:val="000000"/>
              </w:rPr>
            </w:pPr>
          </w:p>
        </w:tc>
        <w:tc>
          <w:tcPr>
            <w:tcW w:w="1608" w:type="dxa"/>
            <w:vMerge/>
            <w:tcBorders>
              <w:top w:val="single" w:sz="12" w:space="0" w:color="auto"/>
              <w:left w:val="single" w:sz="12" w:space="0" w:color="auto"/>
              <w:bottom w:val="single" w:sz="12" w:space="0" w:color="000000"/>
              <w:right w:val="single" w:sz="12" w:space="0" w:color="auto"/>
            </w:tcBorders>
            <w:vAlign w:val="center"/>
            <w:hideMark/>
          </w:tcPr>
          <w:p w14:paraId="5C13931C" w14:textId="77777777" w:rsidR="00617EB4" w:rsidRDefault="00617EB4">
            <w:pPr>
              <w:rPr>
                <w:rFonts w:ascii="Calibri" w:hAnsi="Calibri" w:cs="Calibri"/>
                <w:color w:val="000000"/>
              </w:rPr>
            </w:pPr>
          </w:p>
        </w:tc>
        <w:tc>
          <w:tcPr>
            <w:tcW w:w="2905" w:type="dxa"/>
            <w:gridSpan w:val="3"/>
            <w:vMerge/>
            <w:tcBorders>
              <w:top w:val="single" w:sz="12" w:space="0" w:color="auto"/>
              <w:left w:val="single" w:sz="12" w:space="0" w:color="auto"/>
              <w:bottom w:val="single" w:sz="12" w:space="0" w:color="000000"/>
              <w:right w:val="single" w:sz="12" w:space="0" w:color="auto"/>
            </w:tcBorders>
            <w:vAlign w:val="center"/>
            <w:hideMark/>
          </w:tcPr>
          <w:p w14:paraId="75FF74A8" w14:textId="77777777" w:rsidR="00617EB4" w:rsidRDefault="00617EB4">
            <w:pPr>
              <w:rPr>
                <w:rFonts w:ascii="Aptos Narrow" w:hAnsi="Aptos Narrow"/>
                <w:color w:val="9C0006"/>
              </w:rPr>
            </w:pPr>
          </w:p>
        </w:tc>
        <w:tc>
          <w:tcPr>
            <w:tcW w:w="72" w:type="dxa"/>
            <w:gridSpan w:val="3"/>
            <w:tcBorders>
              <w:top w:val="nil"/>
              <w:left w:val="nil"/>
              <w:bottom w:val="nil"/>
              <w:right w:val="nil"/>
            </w:tcBorders>
            <w:noWrap/>
            <w:vAlign w:val="bottom"/>
            <w:hideMark/>
          </w:tcPr>
          <w:p w14:paraId="642B48EA" w14:textId="77777777" w:rsidR="00617EB4" w:rsidRDefault="00617EB4">
            <w:pPr>
              <w:jc w:val="center"/>
              <w:rPr>
                <w:rFonts w:ascii="Calibri" w:hAnsi="Calibri" w:cs="Calibri"/>
                <w:color w:val="000000"/>
              </w:rPr>
            </w:pPr>
          </w:p>
        </w:tc>
      </w:tr>
      <w:tr w:rsidR="00617EB4" w14:paraId="062184FD" w14:textId="77777777" w:rsidTr="00993B25">
        <w:trPr>
          <w:gridAfter w:val="1"/>
          <w:wAfter w:w="18" w:type="dxa"/>
          <w:trHeight w:val="406"/>
        </w:trPr>
        <w:tc>
          <w:tcPr>
            <w:tcW w:w="3032" w:type="dxa"/>
            <w:vMerge w:val="restart"/>
            <w:tcBorders>
              <w:top w:val="nil"/>
              <w:left w:val="single" w:sz="12" w:space="0" w:color="auto"/>
              <w:bottom w:val="single" w:sz="12" w:space="0" w:color="auto"/>
              <w:right w:val="single" w:sz="12" w:space="0" w:color="auto"/>
            </w:tcBorders>
            <w:vAlign w:val="center"/>
            <w:hideMark/>
          </w:tcPr>
          <w:p w14:paraId="6E0CB71E" w14:textId="77777777" w:rsidR="00617EB4" w:rsidRDefault="00617EB4">
            <w:pPr>
              <w:jc w:val="center"/>
              <w:rPr>
                <w:rFonts w:ascii="Calibri" w:hAnsi="Calibri" w:cs="Calibri"/>
                <w:color w:val="000000"/>
              </w:rPr>
            </w:pPr>
            <w:r>
              <w:rPr>
                <w:rFonts w:ascii="Calibri" w:hAnsi="Calibri" w:cs="Calibri"/>
                <w:color w:val="000000"/>
              </w:rPr>
              <w:t xml:space="preserve">Sessions d'accueil des internes + journée de sensibilisation (séminaire) élus et partenaires </w:t>
            </w:r>
          </w:p>
        </w:tc>
        <w:tc>
          <w:tcPr>
            <w:tcW w:w="1505" w:type="dxa"/>
            <w:vMerge w:val="restart"/>
            <w:tcBorders>
              <w:top w:val="nil"/>
              <w:left w:val="single" w:sz="12" w:space="0" w:color="auto"/>
              <w:bottom w:val="single" w:sz="12" w:space="0" w:color="auto"/>
              <w:right w:val="single" w:sz="12" w:space="0" w:color="auto"/>
            </w:tcBorders>
            <w:vAlign w:val="center"/>
            <w:hideMark/>
          </w:tcPr>
          <w:p w14:paraId="78D9EB69" w14:textId="77777777" w:rsidR="00617EB4" w:rsidRDefault="00617EB4">
            <w:pPr>
              <w:jc w:val="center"/>
              <w:rPr>
                <w:rFonts w:ascii="Calibri" w:hAnsi="Calibri" w:cs="Calibri"/>
                <w:color w:val="000000"/>
              </w:rPr>
            </w:pPr>
            <w:r>
              <w:rPr>
                <w:rFonts w:ascii="Calibri" w:hAnsi="Calibri" w:cs="Calibri"/>
                <w:color w:val="000000"/>
              </w:rPr>
              <w:t>14 000,00 €</w:t>
            </w:r>
          </w:p>
        </w:tc>
        <w:tc>
          <w:tcPr>
            <w:tcW w:w="2044" w:type="dxa"/>
            <w:tcBorders>
              <w:top w:val="nil"/>
              <w:left w:val="nil"/>
              <w:bottom w:val="single" w:sz="12" w:space="0" w:color="auto"/>
              <w:right w:val="single" w:sz="12" w:space="0" w:color="auto"/>
            </w:tcBorders>
            <w:vAlign w:val="center"/>
            <w:hideMark/>
          </w:tcPr>
          <w:p w14:paraId="5B29228A" w14:textId="77777777" w:rsidR="00617EB4" w:rsidRDefault="00617EB4">
            <w:pPr>
              <w:jc w:val="center"/>
              <w:rPr>
                <w:rFonts w:ascii="Calibri" w:hAnsi="Calibri" w:cs="Calibri"/>
                <w:color w:val="000000"/>
              </w:rPr>
            </w:pPr>
            <w:r>
              <w:rPr>
                <w:rFonts w:ascii="Calibri" w:hAnsi="Calibri" w:cs="Calibri"/>
                <w:color w:val="000000"/>
              </w:rPr>
              <w:t> </w:t>
            </w:r>
          </w:p>
        </w:tc>
        <w:tc>
          <w:tcPr>
            <w:tcW w:w="1608" w:type="dxa"/>
            <w:tcBorders>
              <w:top w:val="nil"/>
              <w:left w:val="nil"/>
              <w:bottom w:val="single" w:sz="12" w:space="0" w:color="auto"/>
              <w:right w:val="single" w:sz="12" w:space="0" w:color="auto"/>
            </w:tcBorders>
            <w:vAlign w:val="center"/>
            <w:hideMark/>
          </w:tcPr>
          <w:p w14:paraId="541EEAAA"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411D5021"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1C97C9B2" w14:textId="77777777" w:rsidR="00617EB4" w:rsidRDefault="00617EB4">
            <w:pPr>
              <w:rPr>
                <w:sz w:val="20"/>
                <w:szCs w:val="20"/>
              </w:rPr>
            </w:pPr>
          </w:p>
        </w:tc>
      </w:tr>
      <w:tr w:rsidR="00617EB4" w14:paraId="1BE9A9AE" w14:textId="77777777" w:rsidTr="00993B25">
        <w:trPr>
          <w:gridAfter w:val="1"/>
          <w:wAfter w:w="18" w:type="dxa"/>
          <w:trHeight w:val="406"/>
        </w:trPr>
        <w:tc>
          <w:tcPr>
            <w:tcW w:w="3032" w:type="dxa"/>
            <w:vMerge/>
            <w:tcBorders>
              <w:top w:val="nil"/>
              <w:left w:val="single" w:sz="12" w:space="0" w:color="auto"/>
              <w:bottom w:val="single" w:sz="12" w:space="0" w:color="auto"/>
              <w:right w:val="single" w:sz="12" w:space="0" w:color="auto"/>
            </w:tcBorders>
            <w:tcMar>
              <w:top w:w="0" w:type="dxa"/>
              <w:left w:w="0" w:type="dxa"/>
              <w:bottom w:w="0" w:type="dxa"/>
              <w:right w:w="0" w:type="dxa"/>
            </w:tcMar>
            <w:vAlign w:val="center"/>
            <w:hideMark/>
          </w:tcPr>
          <w:p w14:paraId="4EF790C9" w14:textId="77777777" w:rsidR="00617EB4" w:rsidRDefault="00617EB4">
            <w:pPr>
              <w:rPr>
                <w:rFonts w:ascii="Calibri" w:hAnsi="Calibri" w:cs="Calibri"/>
                <w:color w:val="000000"/>
              </w:rPr>
            </w:pPr>
          </w:p>
        </w:tc>
        <w:tc>
          <w:tcPr>
            <w:tcW w:w="1505" w:type="dxa"/>
            <w:vMerge/>
            <w:tcBorders>
              <w:top w:val="nil"/>
              <w:left w:val="single" w:sz="12" w:space="0" w:color="auto"/>
              <w:bottom w:val="single" w:sz="12" w:space="0" w:color="auto"/>
              <w:right w:val="single" w:sz="12" w:space="0" w:color="auto"/>
            </w:tcBorders>
            <w:tcMar>
              <w:top w:w="0" w:type="dxa"/>
              <w:left w:w="0" w:type="dxa"/>
              <w:bottom w:w="0" w:type="dxa"/>
              <w:right w:w="0" w:type="dxa"/>
            </w:tcMar>
            <w:vAlign w:val="center"/>
            <w:hideMark/>
          </w:tcPr>
          <w:p w14:paraId="0A7A55AD" w14:textId="77777777" w:rsidR="00617EB4" w:rsidRDefault="00617EB4">
            <w:pPr>
              <w:rPr>
                <w:rFonts w:ascii="Calibri" w:hAnsi="Calibri" w:cs="Calibri"/>
                <w:color w:val="000000"/>
              </w:rPr>
            </w:pPr>
          </w:p>
        </w:tc>
        <w:tc>
          <w:tcPr>
            <w:tcW w:w="2044" w:type="dxa"/>
            <w:tcBorders>
              <w:top w:val="nil"/>
              <w:left w:val="nil"/>
              <w:bottom w:val="single" w:sz="12" w:space="0" w:color="auto"/>
              <w:right w:val="single" w:sz="12" w:space="0" w:color="auto"/>
            </w:tcBorders>
            <w:vAlign w:val="center"/>
            <w:hideMark/>
          </w:tcPr>
          <w:p w14:paraId="12357B7B" w14:textId="77777777" w:rsidR="00617EB4" w:rsidRDefault="00617EB4">
            <w:pPr>
              <w:jc w:val="center"/>
              <w:rPr>
                <w:rFonts w:ascii="Calibri" w:hAnsi="Calibri" w:cs="Calibri"/>
                <w:color w:val="000000"/>
              </w:rPr>
            </w:pPr>
            <w:r>
              <w:rPr>
                <w:rFonts w:ascii="Calibri" w:hAnsi="Calibri" w:cs="Calibri"/>
                <w:color w:val="000000"/>
              </w:rPr>
              <w:t>Région</w:t>
            </w:r>
          </w:p>
        </w:tc>
        <w:tc>
          <w:tcPr>
            <w:tcW w:w="1608" w:type="dxa"/>
            <w:tcBorders>
              <w:top w:val="nil"/>
              <w:left w:val="nil"/>
              <w:bottom w:val="single" w:sz="12" w:space="0" w:color="auto"/>
              <w:right w:val="single" w:sz="12" w:space="0" w:color="auto"/>
            </w:tcBorders>
            <w:vAlign w:val="center"/>
            <w:hideMark/>
          </w:tcPr>
          <w:p w14:paraId="28CEE8EA" w14:textId="77777777" w:rsidR="00617EB4" w:rsidRDefault="00617EB4">
            <w:pPr>
              <w:jc w:val="center"/>
              <w:rPr>
                <w:rFonts w:ascii="Calibri" w:hAnsi="Calibri" w:cs="Calibri"/>
                <w:color w:val="000000"/>
              </w:rPr>
            </w:pPr>
            <w:r>
              <w:rPr>
                <w:rFonts w:ascii="Calibri" w:hAnsi="Calibri" w:cs="Calibri"/>
                <w:color w:val="000000"/>
              </w:rPr>
              <w:t>5 000,00 €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24CA1A92"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786A2A67" w14:textId="77777777" w:rsidR="00617EB4" w:rsidRDefault="00617EB4">
            <w:pPr>
              <w:rPr>
                <w:sz w:val="20"/>
                <w:szCs w:val="20"/>
              </w:rPr>
            </w:pPr>
          </w:p>
        </w:tc>
      </w:tr>
      <w:tr w:rsidR="00617EB4" w14:paraId="6F02F6C0"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6E1F4037" w14:textId="77777777" w:rsidR="00617EB4" w:rsidRDefault="00617EB4">
            <w:pPr>
              <w:jc w:val="center"/>
              <w:rPr>
                <w:rFonts w:ascii="Calibri" w:hAnsi="Calibri" w:cs="Calibri"/>
                <w:color w:val="000000"/>
              </w:rPr>
            </w:pPr>
            <w:r>
              <w:rPr>
                <w:rFonts w:ascii="Calibri" w:hAnsi="Calibri" w:cs="Calibri"/>
                <w:color w:val="000000"/>
              </w:rPr>
              <w:t>Action de prévention selon AAP 2026 et Communication</w:t>
            </w:r>
          </w:p>
        </w:tc>
        <w:tc>
          <w:tcPr>
            <w:tcW w:w="1505" w:type="dxa"/>
            <w:tcBorders>
              <w:top w:val="nil"/>
              <w:left w:val="nil"/>
              <w:bottom w:val="single" w:sz="12" w:space="0" w:color="auto"/>
              <w:right w:val="single" w:sz="12" w:space="0" w:color="auto"/>
            </w:tcBorders>
            <w:vAlign w:val="center"/>
            <w:hideMark/>
          </w:tcPr>
          <w:p w14:paraId="3FEF6D2D" w14:textId="77777777" w:rsidR="00617EB4" w:rsidRDefault="00617EB4">
            <w:pPr>
              <w:jc w:val="center"/>
              <w:rPr>
                <w:rFonts w:ascii="Calibri" w:hAnsi="Calibri" w:cs="Calibri"/>
                <w:color w:val="000000"/>
              </w:rPr>
            </w:pPr>
            <w:r>
              <w:rPr>
                <w:rFonts w:ascii="Calibri" w:hAnsi="Calibri" w:cs="Calibri"/>
                <w:color w:val="000000"/>
              </w:rPr>
              <w:t>7 000,00 €</w:t>
            </w:r>
          </w:p>
        </w:tc>
        <w:tc>
          <w:tcPr>
            <w:tcW w:w="2044" w:type="dxa"/>
            <w:tcBorders>
              <w:top w:val="nil"/>
              <w:left w:val="nil"/>
              <w:bottom w:val="single" w:sz="12" w:space="0" w:color="auto"/>
              <w:right w:val="single" w:sz="12" w:space="0" w:color="auto"/>
            </w:tcBorders>
            <w:vAlign w:val="center"/>
            <w:hideMark/>
          </w:tcPr>
          <w:p w14:paraId="5F3C201A" w14:textId="77777777" w:rsidR="00617EB4" w:rsidRDefault="00617EB4">
            <w:pPr>
              <w:jc w:val="center"/>
              <w:rPr>
                <w:rFonts w:ascii="Calibri" w:hAnsi="Calibri" w:cs="Calibri"/>
                <w:color w:val="000000"/>
              </w:rPr>
            </w:pPr>
            <w:r>
              <w:rPr>
                <w:rFonts w:ascii="Calibri" w:hAnsi="Calibri" w:cs="Calibri"/>
                <w:color w:val="000000"/>
              </w:rPr>
              <w:t> </w:t>
            </w:r>
          </w:p>
        </w:tc>
        <w:tc>
          <w:tcPr>
            <w:tcW w:w="1608" w:type="dxa"/>
            <w:tcBorders>
              <w:top w:val="nil"/>
              <w:left w:val="nil"/>
              <w:bottom w:val="single" w:sz="12" w:space="0" w:color="auto"/>
              <w:right w:val="single" w:sz="12" w:space="0" w:color="auto"/>
            </w:tcBorders>
            <w:vAlign w:val="center"/>
            <w:hideMark/>
          </w:tcPr>
          <w:p w14:paraId="20A86D99"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78814C7D"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1360434F" w14:textId="77777777" w:rsidR="00617EB4" w:rsidRDefault="00617EB4">
            <w:pPr>
              <w:rPr>
                <w:sz w:val="20"/>
                <w:szCs w:val="20"/>
              </w:rPr>
            </w:pPr>
          </w:p>
        </w:tc>
      </w:tr>
      <w:tr w:rsidR="00617EB4" w14:paraId="269898C4"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5FC127C6" w14:textId="77777777" w:rsidR="00617EB4" w:rsidRDefault="00617EB4">
            <w:pPr>
              <w:jc w:val="center"/>
              <w:rPr>
                <w:rFonts w:ascii="Calibri" w:hAnsi="Calibri" w:cs="Calibri"/>
                <w:color w:val="000000"/>
              </w:rPr>
            </w:pPr>
            <w:r>
              <w:rPr>
                <w:rFonts w:ascii="Calibri" w:hAnsi="Calibri" w:cs="Calibri"/>
                <w:color w:val="000000"/>
              </w:rPr>
              <w:t xml:space="preserve">Frais de déplacement des internes </w:t>
            </w:r>
          </w:p>
        </w:tc>
        <w:tc>
          <w:tcPr>
            <w:tcW w:w="1505" w:type="dxa"/>
            <w:tcBorders>
              <w:top w:val="nil"/>
              <w:left w:val="nil"/>
              <w:bottom w:val="single" w:sz="12" w:space="0" w:color="auto"/>
              <w:right w:val="single" w:sz="12" w:space="0" w:color="auto"/>
            </w:tcBorders>
            <w:vAlign w:val="center"/>
            <w:hideMark/>
          </w:tcPr>
          <w:p w14:paraId="101FB2DF" w14:textId="77777777" w:rsidR="00617EB4" w:rsidRDefault="00617EB4">
            <w:pPr>
              <w:jc w:val="center"/>
              <w:rPr>
                <w:rFonts w:ascii="Calibri" w:hAnsi="Calibri" w:cs="Calibri"/>
                <w:color w:val="000000"/>
              </w:rPr>
            </w:pPr>
            <w:r>
              <w:rPr>
                <w:rFonts w:ascii="Calibri" w:hAnsi="Calibri" w:cs="Calibri"/>
                <w:color w:val="000000"/>
              </w:rPr>
              <w:t>500,00 €</w:t>
            </w:r>
          </w:p>
        </w:tc>
        <w:tc>
          <w:tcPr>
            <w:tcW w:w="2044" w:type="dxa"/>
            <w:tcBorders>
              <w:top w:val="nil"/>
              <w:left w:val="nil"/>
              <w:bottom w:val="single" w:sz="12" w:space="0" w:color="auto"/>
              <w:right w:val="single" w:sz="12" w:space="0" w:color="auto"/>
            </w:tcBorders>
            <w:vAlign w:val="center"/>
            <w:hideMark/>
          </w:tcPr>
          <w:p w14:paraId="2B1DC39E" w14:textId="77777777" w:rsidR="00617EB4" w:rsidRDefault="00617EB4">
            <w:pPr>
              <w:jc w:val="center"/>
              <w:rPr>
                <w:rFonts w:ascii="Calibri" w:hAnsi="Calibri" w:cs="Calibri"/>
                <w:color w:val="000000"/>
              </w:rPr>
            </w:pPr>
            <w:r>
              <w:rPr>
                <w:rFonts w:ascii="Calibri" w:hAnsi="Calibri" w:cs="Calibri"/>
                <w:color w:val="000000"/>
              </w:rPr>
              <w:t> </w:t>
            </w:r>
          </w:p>
        </w:tc>
        <w:tc>
          <w:tcPr>
            <w:tcW w:w="1608" w:type="dxa"/>
            <w:tcBorders>
              <w:top w:val="nil"/>
              <w:left w:val="nil"/>
              <w:bottom w:val="single" w:sz="12" w:space="0" w:color="auto"/>
              <w:right w:val="single" w:sz="12" w:space="0" w:color="auto"/>
            </w:tcBorders>
            <w:vAlign w:val="center"/>
            <w:hideMark/>
          </w:tcPr>
          <w:p w14:paraId="2FE65D7D"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339D5D20"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370A70DD" w14:textId="77777777" w:rsidR="00617EB4" w:rsidRDefault="00617EB4">
            <w:pPr>
              <w:rPr>
                <w:sz w:val="20"/>
                <w:szCs w:val="20"/>
              </w:rPr>
            </w:pPr>
          </w:p>
        </w:tc>
      </w:tr>
      <w:tr w:rsidR="00617EB4" w14:paraId="34CA5ECC" w14:textId="77777777" w:rsidTr="00993B25">
        <w:trPr>
          <w:gridAfter w:val="1"/>
          <w:wAfter w:w="18" w:type="dxa"/>
          <w:trHeight w:val="406"/>
        </w:trPr>
        <w:tc>
          <w:tcPr>
            <w:tcW w:w="3032" w:type="dxa"/>
            <w:tcBorders>
              <w:top w:val="nil"/>
              <w:left w:val="single" w:sz="12" w:space="0" w:color="auto"/>
              <w:bottom w:val="single" w:sz="12" w:space="0" w:color="auto"/>
              <w:right w:val="single" w:sz="12" w:space="0" w:color="auto"/>
            </w:tcBorders>
            <w:vAlign w:val="center"/>
            <w:hideMark/>
          </w:tcPr>
          <w:p w14:paraId="47295FCF" w14:textId="77777777" w:rsidR="00617EB4" w:rsidRDefault="00617EB4">
            <w:pPr>
              <w:jc w:val="center"/>
              <w:rPr>
                <w:rFonts w:ascii="Calibri" w:hAnsi="Calibri" w:cs="Calibri"/>
                <w:color w:val="000000"/>
              </w:rPr>
            </w:pPr>
            <w:r>
              <w:rPr>
                <w:rFonts w:ascii="Calibri" w:hAnsi="Calibri" w:cs="Calibri"/>
                <w:color w:val="000000"/>
              </w:rPr>
              <w:t xml:space="preserve">Droits </w:t>
            </w:r>
            <w:proofErr w:type="spellStart"/>
            <w:r>
              <w:rPr>
                <w:rFonts w:ascii="Calibri" w:hAnsi="Calibri" w:cs="Calibri"/>
                <w:color w:val="000000"/>
              </w:rPr>
              <w:t>Sacem</w:t>
            </w:r>
            <w:proofErr w:type="spellEnd"/>
          </w:p>
        </w:tc>
        <w:tc>
          <w:tcPr>
            <w:tcW w:w="1505" w:type="dxa"/>
            <w:tcBorders>
              <w:top w:val="nil"/>
              <w:left w:val="nil"/>
              <w:bottom w:val="single" w:sz="12" w:space="0" w:color="auto"/>
              <w:right w:val="single" w:sz="12" w:space="0" w:color="auto"/>
            </w:tcBorders>
            <w:vAlign w:val="center"/>
            <w:hideMark/>
          </w:tcPr>
          <w:p w14:paraId="194D626A" w14:textId="77777777" w:rsidR="00617EB4" w:rsidRDefault="00617EB4">
            <w:pPr>
              <w:jc w:val="center"/>
              <w:rPr>
                <w:rFonts w:ascii="Calibri" w:hAnsi="Calibri" w:cs="Calibri"/>
                <w:color w:val="000000"/>
              </w:rPr>
            </w:pPr>
            <w:r>
              <w:rPr>
                <w:rFonts w:ascii="Calibri" w:hAnsi="Calibri" w:cs="Calibri"/>
                <w:color w:val="000000"/>
              </w:rPr>
              <w:t>150,00 €</w:t>
            </w:r>
          </w:p>
        </w:tc>
        <w:tc>
          <w:tcPr>
            <w:tcW w:w="2044" w:type="dxa"/>
            <w:tcBorders>
              <w:top w:val="nil"/>
              <w:left w:val="nil"/>
              <w:bottom w:val="single" w:sz="12" w:space="0" w:color="auto"/>
              <w:right w:val="single" w:sz="12" w:space="0" w:color="auto"/>
            </w:tcBorders>
            <w:vAlign w:val="center"/>
            <w:hideMark/>
          </w:tcPr>
          <w:p w14:paraId="48C54AA8" w14:textId="77777777" w:rsidR="00617EB4" w:rsidRDefault="00617EB4">
            <w:pPr>
              <w:jc w:val="center"/>
              <w:rPr>
                <w:rFonts w:ascii="Calibri" w:hAnsi="Calibri" w:cs="Calibri"/>
                <w:color w:val="000000"/>
              </w:rPr>
            </w:pPr>
            <w:r>
              <w:rPr>
                <w:rFonts w:ascii="Calibri" w:hAnsi="Calibri" w:cs="Calibri"/>
                <w:color w:val="000000"/>
              </w:rPr>
              <w:t> </w:t>
            </w:r>
          </w:p>
        </w:tc>
        <w:tc>
          <w:tcPr>
            <w:tcW w:w="1608" w:type="dxa"/>
            <w:tcBorders>
              <w:top w:val="nil"/>
              <w:left w:val="nil"/>
              <w:bottom w:val="single" w:sz="12" w:space="0" w:color="auto"/>
              <w:right w:val="single" w:sz="12" w:space="0" w:color="auto"/>
            </w:tcBorders>
            <w:vAlign w:val="center"/>
            <w:hideMark/>
          </w:tcPr>
          <w:p w14:paraId="53CDFA2E" w14:textId="77777777" w:rsidR="00617EB4" w:rsidRDefault="00617EB4">
            <w:pPr>
              <w:jc w:val="center"/>
              <w:rPr>
                <w:rFonts w:ascii="Calibri" w:hAnsi="Calibri" w:cs="Calibri"/>
                <w:color w:val="000000"/>
              </w:rPr>
            </w:pPr>
            <w:r>
              <w:rPr>
                <w:rFonts w:ascii="Calibri" w:hAnsi="Calibri" w:cs="Calibri"/>
                <w:color w:val="000000"/>
              </w:rPr>
              <w:t> </w:t>
            </w:r>
          </w:p>
        </w:tc>
        <w:tc>
          <w:tcPr>
            <w:tcW w:w="2905" w:type="dxa"/>
            <w:gridSpan w:val="3"/>
            <w:vMerge/>
            <w:tcBorders>
              <w:top w:val="nil"/>
              <w:left w:val="nil"/>
              <w:bottom w:val="single" w:sz="12" w:space="0" w:color="auto"/>
              <w:right w:val="single" w:sz="12" w:space="0" w:color="auto"/>
            </w:tcBorders>
            <w:tcMar>
              <w:top w:w="0" w:type="dxa"/>
              <w:left w:w="0" w:type="dxa"/>
              <w:bottom w:w="0" w:type="dxa"/>
              <w:right w:w="0" w:type="dxa"/>
            </w:tcMar>
            <w:vAlign w:val="center"/>
            <w:hideMark/>
          </w:tcPr>
          <w:p w14:paraId="200386D0" w14:textId="77777777" w:rsidR="00617EB4" w:rsidRDefault="00617EB4">
            <w:pPr>
              <w:rPr>
                <w:rFonts w:ascii="Aptos Narrow" w:hAnsi="Aptos Narrow"/>
                <w:color w:val="9C0006"/>
              </w:rPr>
            </w:pPr>
          </w:p>
        </w:tc>
        <w:tc>
          <w:tcPr>
            <w:tcW w:w="56" w:type="dxa"/>
            <w:gridSpan w:val="2"/>
            <w:tcMar>
              <w:top w:w="0" w:type="dxa"/>
              <w:left w:w="0" w:type="dxa"/>
              <w:bottom w:w="0" w:type="dxa"/>
              <w:right w:w="0" w:type="dxa"/>
            </w:tcMar>
            <w:vAlign w:val="center"/>
            <w:hideMark/>
          </w:tcPr>
          <w:p w14:paraId="425793B5" w14:textId="77777777" w:rsidR="00617EB4" w:rsidRDefault="00617EB4">
            <w:pPr>
              <w:rPr>
                <w:sz w:val="20"/>
                <w:szCs w:val="20"/>
              </w:rPr>
            </w:pPr>
          </w:p>
        </w:tc>
      </w:tr>
      <w:tr w:rsidR="00617EB4" w14:paraId="3236937C" w14:textId="77777777" w:rsidTr="00993B25">
        <w:trPr>
          <w:gridAfter w:val="1"/>
          <w:wAfter w:w="18" w:type="dxa"/>
          <w:trHeight w:val="406"/>
        </w:trPr>
        <w:tc>
          <w:tcPr>
            <w:tcW w:w="3032" w:type="dxa"/>
            <w:tcBorders>
              <w:top w:val="nil"/>
              <w:left w:val="single" w:sz="12" w:space="0" w:color="auto"/>
              <w:bottom w:val="nil"/>
              <w:right w:val="single" w:sz="12" w:space="0" w:color="auto"/>
            </w:tcBorders>
            <w:shd w:val="clear" w:color="000000" w:fill="ED7D31"/>
            <w:vAlign w:val="center"/>
            <w:hideMark/>
          </w:tcPr>
          <w:p w14:paraId="52A37BFE" w14:textId="77777777" w:rsidR="00617EB4" w:rsidRDefault="00617EB4">
            <w:pPr>
              <w:jc w:val="center"/>
              <w:rPr>
                <w:rFonts w:ascii="Calibri" w:hAnsi="Calibri" w:cs="Calibri"/>
                <w:color w:val="FFFFFF"/>
              </w:rPr>
            </w:pPr>
            <w:r>
              <w:rPr>
                <w:rFonts w:ascii="Calibri" w:hAnsi="Calibri" w:cs="Calibri"/>
                <w:color w:val="FFFFFF"/>
              </w:rPr>
              <w:t>Total dépenses CLS</w:t>
            </w:r>
          </w:p>
        </w:tc>
        <w:tc>
          <w:tcPr>
            <w:tcW w:w="1505" w:type="dxa"/>
            <w:tcBorders>
              <w:top w:val="nil"/>
              <w:left w:val="nil"/>
              <w:bottom w:val="nil"/>
              <w:right w:val="single" w:sz="12" w:space="0" w:color="auto"/>
            </w:tcBorders>
            <w:shd w:val="clear" w:color="000000" w:fill="ED7D31"/>
            <w:vAlign w:val="center"/>
            <w:hideMark/>
          </w:tcPr>
          <w:p w14:paraId="64D8AED7" w14:textId="77777777" w:rsidR="00617EB4" w:rsidRDefault="00617EB4">
            <w:pPr>
              <w:jc w:val="center"/>
              <w:rPr>
                <w:rFonts w:ascii="Calibri" w:hAnsi="Calibri" w:cs="Calibri"/>
                <w:color w:val="FFFFFF"/>
              </w:rPr>
            </w:pPr>
            <w:r>
              <w:rPr>
                <w:rFonts w:ascii="Calibri" w:hAnsi="Calibri" w:cs="Calibri"/>
                <w:color w:val="FFFFFF"/>
              </w:rPr>
              <w:t>59 900,00 €</w:t>
            </w:r>
          </w:p>
        </w:tc>
        <w:tc>
          <w:tcPr>
            <w:tcW w:w="2044" w:type="dxa"/>
            <w:tcBorders>
              <w:top w:val="nil"/>
              <w:left w:val="nil"/>
              <w:bottom w:val="nil"/>
              <w:right w:val="single" w:sz="12" w:space="0" w:color="auto"/>
            </w:tcBorders>
            <w:shd w:val="clear" w:color="000000" w:fill="70AD47"/>
            <w:vAlign w:val="center"/>
            <w:hideMark/>
          </w:tcPr>
          <w:p w14:paraId="67B859B3" w14:textId="77777777" w:rsidR="00617EB4" w:rsidRDefault="00617EB4">
            <w:pPr>
              <w:jc w:val="center"/>
              <w:rPr>
                <w:rFonts w:ascii="Calibri" w:hAnsi="Calibri" w:cs="Calibri"/>
                <w:color w:val="FFFFFF"/>
              </w:rPr>
            </w:pPr>
            <w:r>
              <w:rPr>
                <w:rFonts w:ascii="Calibri" w:hAnsi="Calibri" w:cs="Calibri"/>
                <w:color w:val="FFFFFF"/>
              </w:rPr>
              <w:t xml:space="preserve">Total recettes CLS </w:t>
            </w:r>
          </w:p>
        </w:tc>
        <w:tc>
          <w:tcPr>
            <w:tcW w:w="1608" w:type="dxa"/>
            <w:tcBorders>
              <w:top w:val="nil"/>
              <w:left w:val="nil"/>
              <w:bottom w:val="nil"/>
              <w:right w:val="single" w:sz="12" w:space="0" w:color="auto"/>
            </w:tcBorders>
            <w:shd w:val="clear" w:color="000000" w:fill="70AD47"/>
            <w:vAlign w:val="center"/>
            <w:hideMark/>
          </w:tcPr>
          <w:p w14:paraId="265621F0" w14:textId="77777777" w:rsidR="00617EB4" w:rsidRDefault="00617EB4">
            <w:pPr>
              <w:jc w:val="center"/>
              <w:rPr>
                <w:rFonts w:ascii="Calibri" w:hAnsi="Calibri" w:cs="Calibri"/>
                <w:color w:val="FFFFFF"/>
              </w:rPr>
            </w:pPr>
            <w:r>
              <w:rPr>
                <w:rFonts w:ascii="Calibri" w:hAnsi="Calibri" w:cs="Calibri"/>
                <w:color w:val="FFFFFF"/>
              </w:rPr>
              <w:t>15 000,00 €</w:t>
            </w:r>
          </w:p>
        </w:tc>
        <w:tc>
          <w:tcPr>
            <w:tcW w:w="627" w:type="dxa"/>
            <w:tcBorders>
              <w:top w:val="nil"/>
              <w:left w:val="nil"/>
              <w:bottom w:val="nil"/>
              <w:right w:val="nil"/>
            </w:tcBorders>
            <w:shd w:val="clear" w:color="000000" w:fill="FFC7CE"/>
            <w:vAlign w:val="center"/>
            <w:hideMark/>
          </w:tcPr>
          <w:p w14:paraId="5160BBF8" w14:textId="77777777" w:rsidR="00617EB4" w:rsidRDefault="00617EB4">
            <w:pPr>
              <w:rPr>
                <w:rFonts w:ascii="Aptos Narrow" w:hAnsi="Aptos Narrow" w:cs="Times New Roman"/>
                <w:color w:val="9C0006"/>
              </w:rPr>
            </w:pPr>
            <w:r>
              <w:rPr>
                <w:rFonts w:ascii="Aptos Narrow" w:hAnsi="Aptos Narrow"/>
                <w:color w:val="9C0006"/>
              </w:rPr>
              <w:t> </w:t>
            </w:r>
          </w:p>
        </w:tc>
        <w:tc>
          <w:tcPr>
            <w:tcW w:w="627" w:type="dxa"/>
            <w:tcBorders>
              <w:top w:val="nil"/>
              <w:left w:val="nil"/>
              <w:bottom w:val="nil"/>
              <w:right w:val="nil"/>
            </w:tcBorders>
            <w:shd w:val="clear" w:color="000000" w:fill="FFC7CE"/>
            <w:vAlign w:val="center"/>
            <w:hideMark/>
          </w:tcPr>
          <w:p w14:paraId="0717F363" w14:textId="77777777" w:rsidR="00617EB4" w:rsidRDefault="00617EB4">
            <w:pPr>
              <w:rPr>
                <w:rFonts w:ascii="Aptos Narrow" w:hAnsi="Aptos Narrow"/>
                <w:color w:val="9C0006"/>
              </w:rPr>
            </w:pPr>
            <w:r>
              <w:rPr>
                <w:rFonts w:ascii="Aptos Narrow" w:hAnsi="Aptos Narrow"/>
                <w:color w:val="9C0006"/>
              </w:rPr>
              <w:t> </w:t>
            </w:r>
          </w:p>
        </w:tc>
        <w:tc>
          <w:tcPr>
            <w:tcW w:w="1651" w:type="dxa"/>
            <w:tcBorders>
              <w:top w:val="nil"/>
              <w:left w:val="nil"/>
              <w:bottom w:val="nil"/>
              <w:right w:val="single" w:sz="12" w:space="0" w:color="auto"/>
            </w:tcBorders>
            <w:shd w:val="clear" w:color="000000" w:fill="FFC7CE"/>
            <w:vAlign w:val="center"/>
            <w:hideMark/>
          </w:tcPr>
          <w:p w14:paraId="3CE0CBB8" w14:textId="77777777" w:rsidR="00617EB4" w:rsidRDefault="00617EB4">
            <w:pPr>
              <w:rPr>
                <w:rFonts w:ascii="Aptos Narrow" w:hAnsi="Aptos Narrow"/>
                <w:color w:val="9C0006"/>
              </w:rPr>
            </w:pPr>
            <w:r>
              <w:rPr>
                <w:rFonts w:ascii="Aptos Narrow" w:hAnsi="Aptos Narrow"/>
                <w:color w:val="9C0006"/>
              </w:rPr>
              <w:t> </w:t>
            </w:r>
          </w:p>
        </w:tc>
        <w:tc>
          <w:tcPr>
            <w:tcW w:w="56" w:type="dxa"/>
            <w:gridSpan w:val="2"/>
            <w:tcMar>
              <w:top w:w="0" w:type="dxa"/>
              <w:left w:w="0" w:type="dxa"/>
              <w:bottom w:w="0" w:type="dxa"/>
              <w:right w:w="0" w:type="dxa"/>
            </w:tcMar>
            <w:vAlign w:val="center"/>
            <w:hideMark/>
          </w:tcPr>
          <w:p w14:paraId="16F438DF" w14:textId="77777777" w:rsidR="00617EB4" w:rsidRDefault="00617EB4">
            <w:pPr>
              <w:rPr>
                <w:sz w:val="20"/>
                <w:szCs w:val="20"/>
              </w:rPr>
            </w:pPr>
          </w:p>
        </w:tc>
      </w:tr>
      <w:tr w:rsidR="00617EB4" w14:paraId="53BCE98D" w14:textId="77777777" w:rsidTr="00993B25">
        <w:trPr>
          <w:gridAfter w:val="1"/>
          <w:wAfter w:w="16" w:type="dxa"/>
          <w:trHeight w:val="406"/>
        </w:trPr>
        <w:tc>
          <w:tcPr>
            <w:tcW w:w="8191" w:type="dxa"/>
            <w:gridSpan w:val="4"/>
            <w:vMerge w:val="restart"/>
            <w:tcBorders>
              <w:top w:val="single" w:sz="12" w:space="0" w:color="auto"/>
              <w:left w:val="single" w:sz="12" w:space="0" w:color="auto"/>
              <w:bottom w:val="single" w:sz="12" w:space="0" w:color="auto"/>
              <w:right w:val="single" w:sz="12" w:space="0" w:color="auto"/>
            </w:tcBorders>
            <w:shd w:val="clear" w:color="000000" w:fill="FFC7CE"/>
            <w:vAlign w:val="center"/>
            <w:hideMark/>
          </w:tcPr>
          <w:p w14:paraId="72C4D908" w14:textId="77777777" w:rsidR="00617EB4" w:rsidRDefault="00617EB4">
            <w:pPr>
              <w:jc w:val="center"/>
              <w:rPr>
                <w:rFonts w:ascii="Calibri" w:hAnsi="Calibri" w:cs="Calibri"/>
                <w:b/>
                <w:bCs/>
                <w:color w:val="000000"/>
                <w:sz w:val="48"/>
                <w:szCs w:val="48"/>
              </w:rPr>
            </w:pPr>
            <w:r>
              <w:rPr>
                <w:rFonts w:ascii="Calibri" w:hAnsi="Calibri" w:cs="Calibri"/>
                <w:b/>
                <w:bCs/>
                <w:color w:val="000000"/>
                <w:sz w:val="48"/>
                <w:szCs w:val="48"/>
              </w:rPr>
              <w:t xml:space="preserve">Excédent de fonctionnement reporté </w:t>
            </w:r>
          </w:p>
        </w:tc>
        <w:tc>
          <w:tcPr>
            <w:tcW w:w="2905" w:type="dxa"/>
            <w:gridSpan w:val="3"/>
            <w:vMerge w:val="restart"/>
            <w:tcBorders>
              <w:top w:val="single" w:sz="12" w:space="0" w:color="auto"/>
              <w:left w:val="single" w:sz="12" w:space="0" w:color="auto"/>
              <w:bottom w:val="single" w:sz="12" w:space="0" w:color="000000"/>
              <w:right w:val="single" w:sz="12" w:space="0" w:color="000000"/>
            </w:tcBorders>
            <w:shd w:val="clear" w:color="000000" w:fill="C6EFCE"/>
            <w:vAlign w:val="center"/>
            <w:hideMark/>
          </w:tcPr>
          <w:p w14:paraId="04C6F1B5" w14:textId="77777777" w:rsidR="00617EB4" w:rsidRDefault="00617EB4">
            <w:pPr>
              <w:jc w:val="center"/>
              <w:rPr>
                <w:rFonts w:ascii="Aptos Narrow" w:hAnsi="Aptos Narrow" w:cs="Times New Roman"/>
                <w:color w:val="006100"/>
              </w:rPr>
            </w:pPr>
            <w:r>
              <w:rPr>
                <w:rFonts w:ascii="Aptos Narrow" w:hAnsi="Aptos Narrow"/>
                <w:color w:val="006100"/>
              </w:rPr>
              <w:t>18 750,00 €</w:t>
            </w:r>
          </w:p>
        </w:tc>
        <w:tc>
          <w:tcPr>
            <w:tcW w:w="56" w:type="dxa"/>
            <w:gridSpan w:val="2"/>
            <w:tcMar>
              <w:top w:w="0" w:type="dxa"/>
              <w:left w:w="0" w:type="dxa"/>
              <w:bottom w:w="0" w:type="dxa"/>
              <w:right w:w="0" w:type="dxa"/>
            </w:tcMar>
            <w:vAlign w:val="center"/>
            <w:hideMark/>
          </w:tcPr>
          <w:p w14:paraId="5F337283" w14:textId="77777777" w:rsidR="00617EB4" w:rsidRDefault="00617EB4">
            <w:pPr>
              <w:rPr>
                <w:sz w:val="20"/>
                <w:szCs w:val="20"/>
              </w:rPr>
            </w:pPr>
          </w:p>
        </w:tc>
      </w:tr>
      <w:tr w:rsidR="00993B25" w14:paraId="1F2924CD" w14:textId="77777777" w:rsidTr="00993B25">
        <w:trPr>
          <w:trHeight w:val="406"/>
        </w:trPr>
        <w:tc>
          <w:tcPr>
            <w:tcW w:w="8191" w:type="dxa"/>
            <w:gridSpan w:val="4"/>
            <w:vMerge/>
            <w:tcBorders>
              <w:top w:val="single" w:sz="12" w:space="0" w:color="auto"/>
              <w:left w:val="single" w:sz="12" w:space="0" w:color="auto"/>
              <w:bottom w:val="single" w:sz="12" w:space="0" w:color="auto"/>
              <w:right w:val="single" w:sz="12" w:space="0" w:color="auto"/>
            </w:tcBorders>
            <w:vAlign w:val="center"/>
            <w:hideMark/>
          </w:tcPr>
          <w:p w14:paraId="11589786" w14:textId="77777777" w:rsidR="00617EB4" w:rsidRDefault="00617EB4">
            <w:pPr>
              <w:rPr>
                <w:rFonts w:ascii="Calibri" w:hAnsi="Calibri" w:cs="Calibri"/>
                <w:b/>
                <w:bCs/>
                <w:color w:val="000000"/>
                <w:sz w:val="48"/>
                <w:szCs w:val="48"/>
              </w:rPr>
            </w:pPr>
          </w:p>
        </w:tc>
        <w:tc>
          <w:tcPr>
            <w:tcW w:w="2905" w:type="dxa"/>
            <w:gridSpan w:val="3"/>
            <w:vMerge/>
            <w:tcBorders>
              <w:top w:val="single" w:sz="12" w:space="0" w:color="auto"/>
              <w:left w:val="single" w:sz="12" w:space="0" w:color="auto"/>
              <w:bottom w:val="single" w:sz="12" w:space="0" w:color="000000"/>
              <w:right w:val="single" w:sz="12" w:space="0" w:color="000000"/>
            </w:tcBorders>
            <w:vAlign w:val="center"/>
            <w:hideMark/>
          </w:tcPr>
          <w:p w14:paraId="0EB9A63B" w14:textId="77777777" w:rsidR="00617EB4" w:rsidRDefault="00617EB4">
            <w:pPr>
              <w:rPr>
                <w:rFonts w:ascii="Aptos Narrow" w:hAnsi="Aptos Narrow"/>
                <w:color w:val="006100"/>
              </w:rPr>
            </w:pPr>
          </w:p>
        </w:tc>
        <w:tc>
          <w:tcPr>
            <w:tcW w:w="72" w:type="dxa"/>
            <w:gridSpan w:val="3"/>
            <w:tcBorders>
              <w:top w:val="nil"/>
              <w:left w:val="nil"/>
              <w:bottom w:val="nil"/>
              <w:right w:val="nil"/>
            </w:tcBorders>
            <w:noWrap/>
            <w:vAlign w:val="bottom"/>
            <w:hideMark/>
          </w:tcPr>
          <w:p w14:paraId="032AE1E8" w14:textId="77777777" w:rsidR="00617EB4" w:rsidRDefault="00617EB4">
            <w:pPr>
              <w:jc w:val="center"/>
              <w:rPr>
                <w:rFonts w:ascii="Aptos Narrow" w:hAnsi="Aptos Narrow"/>
                <w:color w:val="006100"/>
              </w:rPr>
            </w:pPr>
          </w:p>
        </w:tc>
      </w:tr>
      <w:tr w:rsidR="00617EB4" w14:paraId="091039EC" w14:textId="77777777" w:rsidTr="00993B25">
        <w:trPr>
          <w:gridAfter w:val="1"/>
          <w:wAfter w:w="16" w:type="dxa"/>
          <w:trHeight w:val="406"/>
        </w:trPr>
        <w:tc>
          <w:tcPr>
            <w:tcW w:w="8191" w:type="dxa"/>
            <w:gridSpan w:val="4"/>
            <w:vMerge w:val="restart"/>
            <w:tcBorders>
              <w:top w:val="single" w:sz="12" w:space="0" w:color="auto"/>
              <w:left w:val="single" w:sz="12" w:space="0" w:color="auto"/>
              <w:bottom w:val="single" w:sz="12" w:space="0" w:color="auto"/>
              <w:right w:val="single" w:sz="12" w:space="0" w:color="auto"/>
            </w:tcBorders>
            <w:shd w:val="clear" w:color="000000" w:fill="FFC7CE"/>
            <w:vAlign w:val="center"/>
            <w:hideMark/>
          </w:tcPr>
          <w:p w14:paraId="087583B3" w14:textId="77777777" w:rsidR="00617EB4" w:rsidRDefault="00617EB4">
            <w:pPr>
              <w:jc w:val="center"/>
              <w:rPr>
                <w:rFonts w:ascii="Calibri" w:hAnsi="Calibri" w:cs="Calibri"/>
                <w:b/>
                <w:bCs/>
                <w:color w:val="000000"/>
                <w:sz w:val="48"/>
                <w:szCs w:val="48"/>
              </w:rPr>
            </w:pPr>
            <w:r>
              <w:rPr>
                <w:rFonts w:ascii="Calibri" w:hAnsi="Calibri" w:cs="Calibri"/>
                <w:b/>
                <w:bCs/>
                <w:color w:val="000000"/>
                <w:sz w:val="48"/>
                <w:szCs w:val="48"/>
              </w:rPr>
              <w:t xml:space="preserve">Total des contributions pour 2026 : </w:t>
            </w:r>
          </w:p>
        </w:tc>
        <w:tc>
          <w:tcPr>
            <w:tcW w:w="2905" w:type="dxa"/>
            <w:gridSpan w:val="3"/>
            <w:vMerge w:val="restart"/>
            <w:tcBorders>
              <w:top w:val="single" w:sz="12" w:space="0" w:color="auto"/>
              <w:left w:val="single" w:sz="12" w:space="0" w:color="auto"/>
              <w:bottom w:val="single" w:sz="12" w:space="0" w:color="auto"/>
              <w:right w:val="single" w:sz="12" w:space="0" w:color="auto"/>
            </w:tcBorders>
            <w:shd w:val="clear" w:color="000000" w:fill="FFC7CE"/>
            <w:vAlign w:val="bottom"/>
            <w:hideMark/>
          </w:tcPr>
          <w:p w14:paraId="1F4A2F7D" w14:textId="6F9C462E" w:rsidR="00617EB4" w:rsidRDefault="00617EB4">
            <w:pPr>
              <w:jc w:val="center"/>
              <w:rPr>
                <w:rFonts w:ascii="Aptos Narrow" w:hAnsi="Aptos Narrow" w:cs="Times New Roman"/>
                <w:b/>
                <w:bCs/>
                <w:color w:val="9C0006"/>
                <w:sz w:val="32"/>
                <w:szCs w:val="32"/>
              </w:rPr>
            </w:pPr>
            <w:r>
              <w:rPr>
                <w:rFonts w:ascii="Aptos Narrow" w:hAnsi="Aptos Narrow"/>
                <w:b/>
                <w:bCs/>
                <w:color w:val="9C0006"/>
                <w:sz w:val="32"/>
                <w:szCs w:val="32"/>
              </w:rPr>
              <w:t xml:space="preserve">190 </w:t>
            </w:r>
            <w:r w:rsidR="00B76BCC">
              <w:rPr>
                <w:rFonts w:ascii="Aptos Narrow" w:hAnsi="Aptos Narrow"/>
                <w:b/>
                <w:bCs/>
                <w:color w:val="9C0006"/>
                <w:sz w:val="32"/>
                <w:szCs w:val="32"/>
              </w:rPr>
              <w:t>300</w:t>
            </w:r>
            <w:r>
              <w:rPr>
                <w:rFonts w:ascii="Aptos Narrow" w:hAnsi="Aptos Narrow"/>
                <w:b/>
                <w:bCs/>
                <w:color w:val="9C0006"/>
                <w:sz w:val="32"/>
                <w:szCs w:val="32"/>
              </w:rPr>
              <w:t>,00 €</w:t>
            </w:r>
          </w:p>
        </w:tc>
        <w:tc>
          <w:tcPr>
            <w:tcW w:w="56" w:type="dxa"/>
            <w:gridSpan w:val="2"/>
            <w:tcMar>
              <w:top w:w="0" w:type="dxa"/>
              <w:left w:w="0" w:type="dxa"/>
              <w:bottom w:w="0" w:type="dxa"/>
              <w:right w:w="0" w:type="dxa"/>
            </w:tcMar>
            <w:vAlign w:val="center"/>
            <w:hideMark/>
          </w:tcPr>
          <w:p w14:paraId="7C0C907E" w14:textId="77777777" w:rsidR="00617EB4" w:rsidRDefault="00617EB4">
            <w:pPr>
              <w:rPr>
                <w:sz w:val="20"/>
                <w:szCs w:val="20"/>
              </w:rPr>
            </w:pPr>
          </w:p>
        </w:tc>
      </w:tr>
      <w:tr w:rsidR="00993B25" w14:paraId="78CE2F1D" w14:textId="77777777" w:rsidTr="00993B25">
        <w:trPr>
          <w:trHeight w:val="406"/>
        </w:trPr>
        <w:tc>
          <w:tcPr>
            <w:tcW w:w="8191" w:type="dxa"/>
            <w:gridSpan w:val="4"/>
            <w:vMerge/>
            <w:tcBorders>
              <w:top w:val="single" w:sz="12" w:space="0" w:color="auto"/>
              <w:left w:val="single" w:sz="12" w:space="0" w:color="auto"/>
              <w:bottom w:val="single" w:sz="12" w:space="0" w:color="auto"/>
              <w:right w:val="single" w:sz="12" w:space="0" w:color="auto"/>
            </w:tcBorders>
            <w:vAlign w:val="center"/>
            <w:hideMark/>
          </w:tcPr>
          <w:p w14:paraId="4E8AC7DC" w14:textId="77777777" w:rsidR="00617EB4" w:rsidRDefault="00617EB4">
            <w:pPr>
              <w:rPr>
                <w:rFonts w:ascii="Calibri" w:hAnsi="Calibri" w:cs="Calibri"/>
                <w:b/>
                <w:bCs/>
                <w:color w:val="000000"/>
                <w:sz w:val="48"/>
                <w:szCs w:val="48"/>
              </w:rPr>
            </w:pPr>
          </w:p>
        </w:tc>
        <w:tc>
          <w:tcPr>
            <w:tcW w:w="2905" w:type="dxa"/>
            <w:gridSpan w:val="3"/>
            <w:vMerge/>
            <w:tcBorders>
              <w:top w:val="single" w:sz="12" w:space="0" w:color="auto"/>
              <w:left w:val="single" w:sz="12" w:space="0" w:color="auto"/>
              <w:bottom w:val="single" w:sz="12" w:space="0" w:color="auto"/>
              <w:right w:val="single" w:sz="12" w:space="0" w:color="auto"/>
            </w:tcBorders>
            <w:vAlign w:val="center"/>
            <w:hideMark/>
          </w:tcPr>
          <w:p w14:paraId="3D221472" w14:textId="77777777" w:rsidR="00617EB4" w:rsidRDefault="00617EB4">
            <w:pPr>
              <w:rPr>
                <w:rFonts w:ascii="Aptos Narrow" w:hAnsi="Aptos Narrow"/>
                <w:b/>
                <w:bCs/>
                <w:color w:val="9C0006"/>
                <w:sz w:val="32"/>
                <w:szCs w:val="32"/>
              </w:rPr>
            </w:pPr>
          </w:p>
        </w:tc>
        <w:tc>
          <w:tcPr>
            <w:tcW w:w="72" w:type="dxa"/>
            <w:gridSpan w:val="3"/>
            <w:tcBorders>
              <w:top w:val="nil"/>
              <w:left w:val="nil"/>
              <w:bottom w:val="nil"/>
              <w:right w:val="nil"/>
            </w:tcBorders>
            <w:noWrap/>
            <w:vAlign w:val="bottom"/>
            <w:hideMark/>
          </w:tcPr>
          <w:p w14:paraId="5F7724DE" w14:textId="77777777" w:rsidR="00617EB4" w:rsidRDefault="00617EB4">
            <w:pPr>
              <w:jc w:val="center"/>
              <w:rPr>
                <w:rFonts w:ascii="Aptos Narrow" w:hAnsi="Aptos Narrow"/>
                <w:b/>
                <w:bCs/>
                <w:color w:val="9C0006"/>
                <w:sz w:val="32"/>
                <w:szCs w:val="32"/>
              </w:rPr>
            </w:pPr>
          </w:p>
        </w:tc>
      </w:tr>
      <w:tr w:rsidR="00617EB4" w14:paraId="411C6009" w14:textId="77777777" w:rsidTr="00993B25">
        <w:trPr>
          <w:gridAfter w:val="1"/>
          <w:wAfter w:w="16" w:type="dxa"/>
          <w:trHeight w:val="406"/>
        </w:trPr>
        <w:tc>
          <w:tcPr>
            <w:tcW w:w="8191"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18F25CE8" w14:textId="4A5ECF85" w:rsidR="00617EB4" w:rsidRDefault="00617EB4">
            <w:pPr>
              <w:jc w:val="center"/>
              <w:rPr>
                <w:rFonts w:ascii="Calibri" w:hAnsi="Calibri" w:cs="Calibri"/>
                <w:color w:val="000000"/>
                <w:sz w:val="52"/>
                <w:szCs w:val="52"/>
              </w:rPr>
            </w:pPr>
            <w:r>
              <w:rPr>
                <w:rFonts w:ascii="Calibri" w:hAnsi="Calibri" w:cs="Calibri"/>
                <w:color w:val="000000"/>
                <w:sz w:val="52"/>
                <w:szCs w:val="52"/>
              </w:rPr>
              <w:t xml:space="preserve">Pour mémoire en </w:t>
            </w:r>
            <w:r>
              <w:rPr>
                <w:rFonts w:ascii="Calibri" w:hAnsi="Calibri" w:cs="Calibri"/>
                <w:color w:val="000000"/>
                <w:sz w:val="52"/>
                <w:szCs w:val="52"/>
              </w:rPr>
              <w:t>2025 :</w:t>
            </w:r>
            <w:r>
              <w:rPr>
                <w:rFonts w:ascii="Calibri" w:hAnsi="Calibri" w:cs="Calibri"/>
                <w:color w:val="000000"/>
                <w:sz w:val="52"/>
                <w:szCs w:val="52"/>
              </w:rPr>
              <w:t xml:space="preserve"> </w:t>
            </w:r>
          </w:p>
        </w:tc>
        <w:tc>
          <w:tcPr>
            <w:tcW w:w="2905"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24E2DD04" w14:textId="77777777" w:rsidR="00617EB4" w:rsidRDefault="00617EB4">
            <w:pPr>
              <w:jc w:val="center"/>
              <w:rPr>
                <w:rFonts w:ascii="Aptos Narrow" w:hAnsi="Aptos Narrow" w:cs="Times New Roman"/>
                <w:color w:val="000000"/>
              </w:rPr>
            </w:pPr>
            <w:r>
              <w:rPr>
                <w:rFonts w:ascii="Aptos Narrow" w:hAnsi="Aptos Narrow"/>
                <w:color w:val="000000"/>
              </w:rPr>
              <w:t>135582,5</w:t>
            </w:r>
          </w:p>
        </w:tc>
        <w:tc>
          <w:tcPr>
            <w:tcW w:w="56" w:type="dxa"/>
            <w:gridSpan w:val="2"/>
            <w:tcMar>
              <w:top w:w="0" w:type="dxa"/>
              <w:left w:w="0" w:type="dxa"/>
              <w:bottom w:w="0" w:type="dxa"/>
              <w:right w:w="0" w:type="dxa"/>
            </w:tcMar>
            <w:vAlign w:val="center"/>
            <w:hideMark/>
          </w:tcPr>
          <w:p w14:paraId="2E45A6CA" w14:textId="77777777" w:rsidR="00617EB4" w:rsidRDefault="00617EB4">
            <w:pPr>
              <w:rPr>
                <w:sz w:val="20"/>
                <w:szCs w:val="20"/>
              </w:rPr>
            </w:pPr>
          </w:p>
        </w:tc>
      </w:tr>
      <w:tr w:rsidR="00617EB4" w14:paraId="458A3829" w14:textId="77777777" w:rsidTr="00993B25">
        <w:trPr>
          <w:gridAfter w:val="1"/>
          <w:wAfter w:w="16" w:type="dxa"/>
          <w:trHeight w:val="406"/>
        </w:trPr>
        <w:tc>
          <w:tcPr>
            <w:tcW w:w="8191" w:type="dxa"/>
            <w:gridSpan w:val="4"/>
            <w:vMerge/>
            <w:tcBorders>
              <w:top w:val="single" w:sz="8" w:space="0" w:color="auto"/>
              <w:left w:val="single" w:sz="8" w:space="0" w:color="auto"/>
              <w:bottom w:val="single" w:sz="8" w:space="0" w:color="000000"/>
              <w:right w:val="single" w:sz="8" w:space="0" w:color="000000"/>
            </w:tcBorders>
            <w:tcMar>
              <w:top w:w="0" w:type="dxa"/>
              <w:left w:w="0" w:type="dxa"/>
              <w:bottom w:w="0" w:type="dxa"/>
              <w:right w:w="0" w:type="dxa"/>
            </w:tcMar>
            <w:vAlign w:val="center"/>
            <w:hideMark/>
          </w:tcPr>
          <w:p w14:paraId="789D0C23" w14:textId="77777777" w:rsidR="00617EB4" w:rsidRDefault="00617EB4">
            <w:pPr>
              <w:rPr>
                <w:rFonts w:ascii="Calibri" w:hAnsi="Calibri" w:cs="Calibri"/>
                <w:color w:val="000000"/>
                <w:sz w:val="52"/>
                <w:szCs w:val="52"/>
              </w:rPr>
            </w:pPr>
          </w:p>
        </w:tc>
        <w:tc>
          <w:tcPr>
            <w:tcW w:w="2905" w:type="dxa"/>
            <w:gridSpan w:val="3"/>
            <w:vMerge/>
            <w:tcBorders>
              <w:top w:val="single" w:sz="8" w:space="0" w:color="auto"/>
              <w:left w:val="single" w:sz="8" w:space="0" w:color="auto"/>
              <w:bottom w:val="single" w:sz="8" w:space="0" w:color="000000"/>
              <w:right w:val="single" w:sz="8" w:space="0" w:color="000000"/>
            </w:tcBorders>
            <w:tcMar>
              <w:top w:w="0" w:type="dxa"/>
              <w:left w:w="0" w:type="dxa"/>
              <w:bottom w:w="0" w:type="dxa"/>
              <w:right w:w="0" w:type="dxa"/>
            </w:tcMar>
            <w:vAlign w:val="center"/>
            <w:hideMark/>
          </w:tcPr>
          <w:p w14:paraId="3BE796DF" w14:textId="77777777" w:rsidR="00617EB4" w:rsidRDefault="00617EB4">
            <w:pPr>
              <w:rPr>
                <w:rFonts w:ascii="Aptos Narrow" w:hAnsi="Aptos Narrow"/>
                <w:color w:val="000000"/>
              </w:rPr>
            </w:pPr>
          </w:p>
        </w:tc>
        <w:tc>
          <w:tcPr>
            <w:tcW w:w="56" w:type="dxa"/>
            <w:gridSpan w:val="2"/>
            <w:tcBorders>
              <w:top w:val="nil"/>
              <w:left w:val="nil"/>
              <w:bottom w:val="nil"/>
              <w:right w:val="nil"/>
            </w:tcBorders>
            <w:noWrap/>
            <w:tcMar>
              <w:top w:w="0" w:type="dxa"/>
              <w:left w:w="0" w:type="dxa"/>
              <w:bottom w:w="0" w:type="dxa"/>
              <w:right w:w="0" w:type="dxa"/>
            </w:tcMar>
            <w:vAlign w:val="bottom"/>
            <w:hideMark/>
          </w:tcPr>
          <w:p w14:paraId="3E93C21A" w14:textId="77777777" w:rsidR="00617EB4" w:rsidRDefault="00617EB4">
            <w:pPr>
              <w:jc w:val="center"/>
              <w:rPr>
                <w:rFonts w:ascii="Aptos Narrow" w:hAnsi="Aptos Narrow"/>
                <w:color w:val="000000"/>
              </w:rPr>
            </w:pPr>
          </w:p>
        </w:tc>
      </w:tr>
    </w:tbl>
    <w:p w14:paraId="6D8E13D9" w14:textId="62995921" w:rsidR="001C0945" w:rsidRDefault="00617EB4">
      <w:pPr>
        <w:spacing w:line="259" w:lineRule="auto"/>
        <w:rPr>
          <w:rFonts w:cstheme="minorHAnsi"/>
        </w:rPr>
      </w:pPr>
      <w:r>
        <w:rPr>
          <w:rFonts w:cstheme="minorHAnsi"/>
        </w:rPr>
        <w:t xml:space="preserve"> </w:t>
      </w:r>
      <w:r w:rsidR="001C0945">
        <w:rPr>
          <w:rFonts w:cstheme="minorHAnsi"/>
        </w:rPr>
        <w:br w:type="page"/>
      </w:r>
    </w:p>
    <w:p w14:paraId="7CC0719B" w14:textId="77777777" w:rsidR="004A6E87" w:rsidRPr="000D367A" w:rsidRDefault="004A6E87" w:rsidP="00C30246">
      <w:pPr>
        <w:spacing w:after="0" w:line="240" w:lineRule="auto"/>
        <w:jc w:val="both"/>
        <w:rPr>
          <w:rFonts w:cstheme="minorHAnsi"/>
        </w:rPr>
        <w:sectPr w:rsidR="004A6E87" w:rsidRPr="000D367A" w:rsidSect="000B60AA">
          <w:headerReference w:type="default" r:id="rId10"/>
          <w:footerReference w:type="default" r:id="rId11"/>
          <w:pgSz w:w="11906" w:h="16838"/>
          <w:pgMar w:top="1417" w:right="1417" w:bottom="1417" w:left="1417" w:header="708" w:footer="708" w:gutter="0"/>
          <w:cols w:space="708"/>
          <w:docGrid w:linePitch="360"/>
        </w:sectPr>
      </w:pPr>
    </w:p>
    <w:p w14:paraId="62A93AA8" w14:textId="77777777" w:rsidR="00141719" w:rsidRPr="000D367A" w:rsidRDefault="00141719" w:rsidP="002413F2">
      <w:pPr>
        <w:spacing w:after="0" w:line="240" w:lineRule="auto"/>
        <w:jc w:val="both"/>
        <w:rPr>
          <w:rFonts w:eastAsiaTheme="minorHAnsi" w:cstheme="minorHAnsi"/>
          <w:lang w:eastAsia="en-US"/>
        </w:rPr>
      </w:pPr>
    </w:p>
    <w:p w14:paraId="54372A02" w14:textId="2C9B29FB" w:rsidR="00F74CCF" w:rsidRDefault="00B0149A" w:rsidP="00F74CCF">
      <w:pPr>
        <w:rPr>
          <w:rFonts w:eastAsiaTheme="minorHAnsi" w:cstheme="minorHAnsi"/>
          <w:b/>
          <w:bCs/>
          <w:u w:val="single"/>
          <w:lang w:eastAsia="en-US"/>
        </w:rPr>
      </w:pPr>
      <w:r w:rsidRPr="000D367A">
        <w:rPr>
          <w:rFonts w:eastAsiaTheme="minorHAnsi" w:cstheme="minorHAnsi"/>
          <w:b/>
          <w:bCs/>
          <w:u w:val="single"/>
          <w:lang w:eastAsia="en-US"/>
        </w:rPr>
        <w:t xml:space="preserve">Estimation des cotisations pour l’année 2026 : </w:t>
      </w:r>
    </w:p>
    <w:p w14:paraId="5987AA33" w14:textId="77777777" w:rsidR="000D367A" w:rsidRDefault="000D367A" w:rsidP="00F74CCF">
      <w:pPr>
        <w:rPr>
          <w:rFonts w:eastAsiaTheme="minorHAnsi" w:cstheme="minorHAnsi"/>
          <w:b/>
          <w:bCs/>
          <w:u w:val="single"/>
          <w:lang w:eastAsia="en-US"/>
        </w:rPr>
      </w:pPr>
    </w:p>
    <w:tbl>
      <w:tblPr>
        <w:tblW w:w="9918" w:type="dxa"/>
        <w:tblCellMar>
          <w:left w:w="70" w:type="dxa"/>
          <w:right w:w="70" w:type="dxa"/>
        </w:tblCellMar>
        <w:tblLook w:val="04A0" w:firstRow="1" w:lastRow="0" w:firstColumn="1" w:lastColumn="0" w:noHBand="0" w:noVBand="1"/>
      </w:tblPr>
      <w:tblGrid>
        <w:gridCol w:w="2382"/>
        <w:gridCol w:w="1040"/>
        <w:gridCol w:w="1141"/>
        <w:gridCol w:w="1280"/>
        <w:gridCol w:w="1280"/>
        <w:gridCol w:w="1552"/>
        <w:gridCol w:w="1243"/>
      </w:tblGrid>
      <w:tr w:rsidR="00E22C5D" w:rsidRPr="00E22C5D" w14:paraId="6746ADF5" w14:textId="77777777" w:rsidTr="00E22C5D">
        <w:trPr>
          <w:trHeight w:val="1549"/>
        </w:trPr>
        <w:tc>
          <w:tcPr>
            <w:tcW w:w="2830" w:type="dxa"/>
            <w:tcBorders>
              <w:top w:val="single" w:sz="4" w:space="0" w:color="auto"/>
              <w:left w:val="single" w:sz="4" w:space="0" w:color="auto"/>
              <w:bottom w:val="nil"/>
              <w:right w:val="single" w:sz="4" w:space="0" w:color="auto"/>
            </w:tcBorders>
            <w:vAlign w:val="center"/>
            <w:hideMark/>
          </w:tcPr>
          <w:p w14:paraId="13ADE4C3" w14:textId="77777777" w:rsidR="00E22C5D" w:rsidRPr="00E22C5D" w:rsidRDefault="00E22C5D" w:rsidP="00E22C5D">
            <w:pPr>
              <w:spacing w:after="0" w:line="240" w:lineRule="auto"/>
              <w:jc w:val="center"/>
              <w:rPr>
                <w:rFonts w:ascii="Calibri" w:eastAsia="Times New Roman" w:hAnsi="Calibri" w:cs="Calibri"/>
                <w:b/>
                <w:bCs/>
                <w:color w:val="000000"/>
              </w:rPr>
            </w:pPr>
            <w:r w:rsidRPr="00E22C5D">
              <w:rPr>
                <w:rFonts w:ascii="Calibri" w:eastAsia="Times New Roman" w:hAnsi="Calibri" w:cs="Calibri"/>
                <w:b/>
                <w:bCs/>
                <w:color w:val="000000"/>
              </w:rPr>
              <w:t>Intercommunalités</w:t>
            </w:r>
          </w:p>
        </w:tc>
        <w:tc>
          <w:tcPr>
            <w:tcW w:w="1097" w:type="dxa"/>
            <w:tcBorders>
              <w:top w:val="single" w:sz="4" w:space="0" w:color="auto"/>
              <w:left w:val="nil"/>
              <w:bottom w:val="nil"/>
              <w:right w:val="single" w:sz="4" w:space="0" w:color="auto"/>
            </w:tcBorders>
            <w:vAlign w:val="center"/>
            <w:hideMark/>
          </w:tcPr>
          <w:p w14:paraId="112DB60E" w14:textId="77777777" w:rsidR="00E22C5D" w:rsidRPr="00E22C5D" w:rsidRDefault="00E22C5D" w:rsidP="00E22C5D">
            <w:pPr>
              <w:spacing w:after="0" w:line="240" w:lineRule="auto"/>
              <w:jc w:val="center"/>
              <w:rPr>
                <w:rFonts w:ascii="Calibri" w:eastAsia="Times New Roman" w:hAnsi="Calibri" w:cs="Calibri"/>
                <w:b/>
                <w:bCs/>
                <w:color w:val="000000"/>
              </w:rPr>
            </w:pPr>
            <w:r w:rsidRPr="00E22C5D">
              <w:rPr>
                <w:rFonts w:ascii="Calibri" w:eastAsia="Times New Roman" w:hAnsi="Calibri" w:cs="Calibri"/>
                <w:b/>
                <w:bCs/>
                <w:color w:val="000000"/>
              </w:rPr>
              <w:t>Potentiel fiscal</w:t>
            </w:r>
          </w:p>
        </w:tc>
        <w:tc>
          <w:tcPr>
            <w:tcW w:w="1018" w:type="dxa"/>
            <w:tcBorders>
              <w:top w:val="single" w:sz="4" w:space="0" w:color="auto"/>
              <w:left w:val="nil"/>
              <w:bottom w:val="nil"/>
              <w:right w:val="single" w:sz="4" w:space="0" w:color="auto"/>
            </w:tcBorders>
            <w:vAlign w:val="center"/>
            <w:hideMark/>
          </w:tcPr>
          <w:p w14:paraId="21ADE6D1" w14:textId="77777777" w:rsidR="00E22C5D" w:rsidRPr="00E22C5D" w:rsidRDefault="00E22C5D" w:rsidP="00E22C5D">
            <w:pPr>
              <w:spacing w:after="0" w:line="240" w:lineRule="auto"/>
              <w:jc w:val="center"/>
              <w:rPr>
                <w:rFonts w:ascii="Calibri" w:eastAsia="Times New Roman" w:hAnsi="Calibri" w:cs="Calibri"/>
                <w:b/>
                <w:bCs/>
                <w:color w:val="000000"/>
              </w:rPr>
            </w:pPr>
            <w:proofErr w:type="gramStart"/>
            <w:r w:rsidRPr="00E22C5D">
              <w:rPr>
                <w:rFonts w:ascii="Calibri" w:eastAsia="Times New Roman" w:hAnsi="Calibri" w:cs="Calibri"/>
                <w:b/>
                <w:bCs/>
                <w:color w:val="000000"/>
              </w:rPr>
              <w:t>Population  DGF</w:t>
            </w:r>
            <w:proofErr w:type="gramEnd"/>
            <w:r w:rsidRPr="00E22C5D">
              <w:rPr>
                <w:rFonts w:ascii="Calibri" w:eastAsia="Times New Roman" w:hAnsi="Calibri" w:cs="Calibri"/>
                <w:b/>
                <w:bCs/>
                <w:color w:val="000000"/>
              </w:rPr>
              <w:t xml:space="preserve">  </w:t>
            </w:r>
          </w:p>
        </w:tc>
        <w:tc>
          <w:tcPr>
            <w:tcW w:w="1957" w:type="dxa"/>
            <w:gridSpan w:val="2"/>
            <w:tcBorders>
              <w:top w:val="single" w:sz="4" w:space="0" w:color="auto"/>
              <w:left w:val="nil"/>
              <w:bottom w:val="single" w:sz="4" w:space="0" w:color="auto"/>
              <w:right w:val="single" w:sz="4" w:space="0" w:color="000000"/>
            </w:tcBorders>
            <w:vAlign w:val="center"/>
            <w:hideMark/>
          </w:tcPr>
          <w:p w14:paraId="277CAE74" w14:textId="77777777" w:rsidR="00E22C5D" w:rsidRPr="00E22C5D" w:rsidRDefault="00E22C5D" w:rsidP="00E22C5D">
            <w:pPr>
              <w:spacing w:after="0" w:line="240" w:lineRule="auto"/>
              <w:jc w:val="center"/>
              <w:rPr>
                <w:rFonts w:ascii="Calibri" w:eastAsia="Times New Roman" w:hAnsi="Calibri" w:cs="Calibri"/>
                <w:b/>
                <w:bCs/>
                <w:color w:val="000000"/>
              </w:rPr>
            </w:pPr>
            <w:r w:rsidRPr="00E22C5D">
              <w:rPr>
                <w:rFonts w:ascii="Calibri" w:eastAsia="Times New Roman" w:hAnsi="Calibri" w:cs="Calibri"/>
                <w:b/>
                <w:bCs/>
                <w:color w:val="000000"/>
              </w:rPr>
              <w:t>Décomposition de la contribution entre potentiel fiscal et population</w:t>
            </w:r>
          </w:p>
        </w:tc>
        <w:tc>
          <w:tcPr>
            <w:tcW w:w="1772" w:type="dxa"/>
            <w:tcBorders>
              <w:top w:val="single" w:sz="4" w:space="0" w:color="auto"/>
              <w:left w:val="nil"/>
              <w:bottom w:val="single" w:sz="4" w:space="0" w:color="auto"/>
              <w:right w:val="nil"/>
            </w:tcBorders>
            <w:vAlign w:val="center"/>
            <w:hideMark/>
          </w:tcPr>
          <w:p w14:paraId="753D5966" w14:textId="77777777" w:rsidR="00E22C5D" w:rsidRPr="00E22C5D" w:rsidRDefault="00E22C5D" w:rsidP="00E22C5D">
            <w:pPr>
              <w:spacing w:after="0" w:line="240" w:lineRule="auto"/>
              <w:jc w:val="center"/>
              <w:rPr>
                <w:rFonts w:ascii="Calibri" w:eastAsia="Times New Roman" w:hAnsi="Calibri" w:cs="Calibri"/>
                <w:b/>
                <w:bCs/>
                <w:color w:val="000000"/>
              </w:rPr>
            </w:pPr>
            <w:r w:rsidRPr="00E22C5D">
              <w:rPr>
                <w:rFonts w:ascii="Calibri" w:eastAsia="Times New Roman" w:hAnsi="Calibri" w:cs="Calibri"/>
                <w:b/>
                <w:bCs/>
                <w:color w:val="000000"/>
              </w:rPr>
              <w:t xml:space="preserve">Contribution </w:t>
            </w:r>
            <w:proofErr w:type="gramStart"/>
            <w:r w:rsidRPr="00E22C5D">
              <w:rPr>
                <w:rFonts w:ascii="Calibri" w:eastAsia="Times New Roman" w:hAnsi="Calibri" w:cs="Calibri"/>
                <w:b/>
                <w:bCs/>
                <w:color w:val="000000"/>
              </w:rPr>
              <w:t>au  PETR</w:t>
            </w:r>
            <w:proofErr w:type="gramEnd"/>
            <w:r w:rsidRPr="00E22C5D">
              <w:rPr>
                <w:rFonts w:ascii="Calibri" w:eastAsia="Times New Roman" w:hAnsi="Calibri" w:cs="Calibri"/>
                <w:b/>
                <w:bCs/>
                <w:color w:val="000000"/>
              </w:rPr>
              <w:t xml:space="preserve"> </w:t>
            </w:r>
            <w:proofErr w:type="gramStart"/>
            <w:r w:rsidRPr="00E22C5D">
              <w:rPr>
                <w:rFonts w:ascii="Calibri" w:eastAsia="Times New Roman" w:hAnsi="Calibri" w:cs="Calibri"/>
                <w:b/>
                <w:bCs/>
                <w:color w:val="000000"/>
              </w:rPr>
              <w:t>2025  basée</w:t>
            </w:r>
            <w:proofErr w:type="gramEnd"/>
            <w:r w:rsidRPr="00E22C5D">
              <w:rPr>
                <w:rFonts w:ascii="Calibri" w:eastAsia="Times New Roman" w:hAnsi="Calibri" w:cs="Calibri"/>
                <w:b/>
                <w:bCs/>
                <w:color w:val="000000"/>
              </w:rPr>
              <w:t xml:space="preserve">  pour 50 </w:t>
            </w:r>
            <w:proofErr w:type="gramStart"/>
            <w:r w:rsidRPr="00E22C5D">
              <w:rPr>
                <w:rFonts w:ascii="Calibri" w:eastAsia="Times New Roman" w:hAnsi="Calibri" w:cs="Calibri"/>
                <w:b/>
                <w:bCs/>
                <w:color w:val="000000"/>
              </w:rPr>
              <w:t>%  sur</w:t>
            </w:r>
            <w:proofErr w:type="gramEnd"/>
            <w:r w:rsidRPr="00E22C5D">
              <w:rPr>
                <w:rFonts w:ascii="Calibri" w:eastAsia="Times New Roman" w:hAnsi="Calibri" w:cs="Calibri"/>
                <w:b/>
                <w:bCs/>
                <w:color w:val="000000"/>
              </w:rPr>
              <w:t xml:space="preserve"> le potentiel fiscal et 50 </w:t>
            </w:r>
            <w:proofErr w:type="gramStart"/>
            <w:r w:rsidRPr="00E22C5D">
              <w:rPr>
                <w:rFonts w:ascii="Calibri" w:eastAsia="Times New Roman" w:hAnsi="Calibri" w:cs="Calibri"/>
                <w:b/>
                <w:bCs/>
                <w:color w:val="000000"/>
              </w:rPr>
              <w:t>%  sur</w:t>
            </w:r>
            <w:proofErr w:type="gramEnd"/>
            <w:r w:rsidRPr="00E22C5D">
              <w:rPr>
                <w:rFonts w:ascii="Calibri" w:eastAsia="Times New Roman" w:hAnsi="Calibri" w:cs="Calibri"/>
                <w:b/>
                <w:bCs/>
                <w:color w:val="000000"/>
              </w:rPr>
              <w:t xml:space="preserve"> la population </w:t>
            </w:r>
          </w:p>
        </w:tc>
        <w:tc>
          <w:tcPr>
            <w:tcW w:w="1243" w:type="dxa"/>
            <w:tcBorders>
              <w:top w:val="single" w:sz="4" w:space="0" w:color="auto"/>
              <w:left w:val="single" w:sz="4" w:space="0" w:color="auto"/>
              <w:bottom w:val="single" w:sz="4" w:space="0" w:color="auto"/>
              <w:right w:val="single" w:sz="4" w:space="0" w:color="auto"/>
            </w:tcBorders>
            <w:vAlign w:val="center"/>
            <w:hideMark/>
          </w:tcPr>
          <w:p w14:paraId="4D9BA646" w14:textId="77777777" w:rsidR="00E22C5D" w:rsidRPr="00E22C5D" w:rsidRDefault="00E22C5D" w:rsidP="00E22C5D">
            <w:pPr>
              <w:spacing w:after="0" w:line="240" w:lineRule="auto"/>
              <w:jc w:val="center"/>
              <w:rPr>
                <w:rFonts w:ascii="Calibri" w:eastAsia="Times New Roman" w:hAnsi="Calibri" w:cs="Calibri"/>
                <w:b/>
                <w:bCs/>
                <w:i/>
                <w:iCs/>
                <w:color w:val="000000"/>
                <w:sz w:val="20"/>
                <w:szCs w:val="20"/>
              </w:rPr>
            </w:pPr>
            <w:r w:rsidRPr="00E22C5D">
              <w:rPr>
                <w:rFonts w:ascii="Calibri" w:eastAsia="Times New Roman" w:hAnsi="Calibri" w:cs="Calibri"/>
                <w:b/>
                <w:bCs/>
                <w:i/>
                <w:iCs/>
                <w:color w:val="000000"/>
                <w:sz w:val="20"/>
                <w:szCs w:val="20"/>
              </w:rPr>
              <w:t>Pour mémoire, contributions 2025</w:t>
            </w:r>
          </w:p>
        </w:tc>
      </w:tr>
      <w:tr w:rsidR="00E22C5D" w:rsidRPr="00E22C5D" w14:paraId="409CCC09" w14:textId="77777777" w:rsidTr="00E22C5D">
        <w:trPr>
          <w:trHeight w:val="877"/>
        </w:trPr>
        <w:tc>
          <w:tcPr>
            <w:tcW w:w="2830" w:type="dxa"/>
            <w:tcBorders>
              <w:top w:val="nil"/>
              <w:left w:val="single" w:sz="4" w:space="0" w:color="auto"/>
              <w:bottom w:val="single" w:sz="4" w:space="0" w:color="auto"/>
              <w:right w:val="single" w:sz="4" w:space="0" w:color="auto"/>
            </w:tcBorders>
            <w:vAlign w:val="center"/>
            <w:hideMark/>
          </w:tcPr>
          <w:p w14:paraId="1D8C8ABD" w14:textId="77777777" w:rsidR="00E22C5D" w:rsidRPr="00E22C5D" w:rsidRDefault="00E22C5D" w:rsidP="00E22C5D">
            <w:pPr>
              <w:spacing w:after="0" w:line="240" w:lineRule="auto"/>
              <w:jc w:val="center"/>
              <w:rPr>
                <w:rFonts w:ascii="Calibri" w:eastAsia="Times New Roman" w:hAnsi="Calibri" w:cs="Calibri"/>
                <w:b/>
                <w:bCs/>
                <w:color w:val="000000"/>
              </w:rPr>
            </w:pPr>
            <w:r w:rsidRPr="00E22C5D">
              <w:rPr>
                <w:rFonts w:ascii="Calibri" w:eastAsia="Times New Roman" w:hAnsi="Calibri" w:cs="Calibri"/>
                <w:b/>
                <w:bCs/>
                <w:color w:val="000000"/>
              </w:rPr>
              <w:t> </w:t>
            </w:r>
          </w:p>
        </w:tc>
        <w:tc>
          <w:tcPr>
            <w:tcW w:w="2116" w:type="dxa"/>
            <w:gridSpan w:val="2"/>
            <w:tcBorders>
              <w:top w:val="nil"/>
              <w:left w:val="nil"/>
              <w:bottom w:val="single" w:sz="4" w:space="0" w:color="auto"/>
              <w:right w:val="single" w:sz="4" w:space="0" w:color="000000"/>
            </w:tcBorders>
            <w:vAlign w:val="center"/>
            <w:hideMark/>
          </w:tcPr>
          <w:p w14:paraId="33B33C5E" w14:textId="77777777" w:rsidR="00E22C5D" w:rsidRPr="00E22C5D" w:rsidRDefault="00E22C5D" w:rsidP="00E22C5D">
            <w:pPr>
              <w:spacing w:after="0" w:line="240" w:lineRule="auto"/>
              <w:jc w:val="center"/>
              <w:rPr>
                <w:rFonts w:ascii="Calibri" w:eastAsia="Times New Roman" w:hAnsi="Calibri" w:cs="Calibri"/>
                <w:b/>
                <w:bCs/>
                <w:color w:val="000000"/>
                <w:sz w:val="18"/>
                <w:szCs w:val="18"/>
              </w:rPr>
            </w:pPr>
            <w:proofErr w:type="gramStart"/>
            <w:r w:rsidRPr="00E22C5D">
              <w:rPr>
                <w:rFonts w:ascii="Calibri" w:eastAsia="Times New Roman" w:hAnsi="Calibri" w:cs="Calibri"/>
                <w:b/>
                <w:bCs/>
                <w:color w:val="000000"/>
                <w:sz w:val="18"/>
                <w:szCs w:val="18"/>
              </w:rPr>
              <w:t>sources</w:t>
            </w:r>
            <w:proofErr w:type="gramEnd"/>
            <w:r w:rsidRPr="00E22C5D">
              <w:rPr>
                <w:rFonts w:ascii="Calibri" w:eastAsia="Times New Roman" w:hAnsi="Calibri" w:cs="Calibri"/>
                <w:b/>
                <w:bCs/>
                <w:color w:val="000000"/>
                <w:sz w:val="18"/>
                <w:szCs w:val="18"/>
              </w:rPr>
              <w:t xml:space="preserve"> : banatic.interieur.gouv.fr (dernière mise à jour des </w:t>
            </w:r>
            <w:proofErr w:type="spellStart"/>
            <w:r w:rsidRPr="00E22C5D">
              <w:rPr>
                <w:rFonts w:ascii="Calibri" w:eastAsia="Times New Roman" w:hAnsi="Calibri" w:cs="Calibri"/>
                <w:b/>
                <w:bCs/>
                <w:color w:val="000000"/>
                <w:sz w:val="18"/>
                <w:szCs w:val="18"/>
              </w:rPr>
              <w:t>donnéees</w:t>
            </w:r>
            <w:proofErr w:type="spellEnd"/>
            <w:r w:rsidRPr="00E22C5D">
              <w:rPr>
                <w:rFonts w:ascii="Calibri" w:eastAsia="Times New Roman" w:hAnsi="Calibri" w:cs="Calibri"/>
                <w:b/>
                <w:bCs/>
                <w:color w:val="000000"/>
                <w:sz w:val="18"/>
                <w:szCs w:val="18"/>
              </w:rPr>
              <w:t xml:space="preserve"> le 16/09/2024)</w:t>
            </w:r>
          </w:p>
        </w:tc>
        <w:tc>
          <w:tcPr>
            <w:tcW w:w="992" w:type="dxa"/>
            <w:tcBorders>
              <w:top w:val="nil"/>
              <w:left w:val="nil"/>
              <w:bottom w:val="single" w:sz="4" w:space="0" w:color="auto"/>
              <w:right w:val="single" w:sz="4" w:space="0" w:color="auto"/>
            </w:tcBorders>
            <w:vAlign w:val="center"/>
            <w:hideMark/>
          </w:tcPr>
          <w:p w14:paraId="7E1FB577" w14:textId="77777777" w:rsidR="00E22C5D" w:rsidRPr="00E22C5D" w:rsidRDefault="00E22C5D" w:rsidP="00E22C5D">
            <w:pPr>
              <w:spacing w:after="0" w:line="240" w:lineRule="auto"/>
              <w:jc w:val="center"/>
              <w:rPr>
                <w:rFonts w:ascii="Calibri" w:eastAsia="Times New Roman" w:hAnsi="Calibri" w:cs="Calibri"/>
                <w:b/>
                <w:bCs/>
                <w:color w:val="000000"/>
              </w:rPr>
            </w:pPr>
            <w:proofErr w:type="gramStart"/>
            <w:r w:rsidRPr="00E22C5D">
              <w:rPr>
                <w:rFonts w:ascii="Calibri" w:eastAsia="Times New Roman" w:hAnsi="Calibri" w:cs="Calibri"/>
                <w:b/>
                <w:bCs/>
                <w:color w:val="000000"/>
              </w:rPr>
              <w:t>contribution</w:t>
            </w:r>
            <w:proofErr w:type="gramEnd"/>
            <w:r w:rsidRPr="00E22C5D">
              <w:rPr>
                <w:rFonts w:ascii="Calibri" w:eastAsia="Times New Roman" w:hAnsi="Calibri" w:cs="Calibri"/>
                <w:b/>
                <w:bCs/>
                <w:color w:val="000000"/>
              </w:rPr>
              <w:t xml:space="preserve"> basée sur la population</w:t>
            </w:r>
          </w:p>
        </w:tc>
        <w:tc>
          <w:tcPr>
            <w:tcW w:w="965" w:type="dxa"/>
            <w:tcBorders>
              <w:top w:val="nil"/>
              <w:left w:val="nil"/>
              <w:bottom w:val="single" w:sz="4" w:space="0" w:color="auto"/>
              <w:right w:val="single" w:sz="4" w:space="0" w:color="auto"/>
            </w:tcBorders>
            <w:vAlign w:val="center"/>
            <w:hideMark/>
          </w:tcPr>
          <w:p w14:paraId="218195D6" w14:textId="77777777" w:rsidR="00E22C5D" w:rsidRPr="00E22C5D" w:rsidRDefault="00E22C5D" w:rsidP="00E22C5D">
            <w:pPr>
              <w:spacing w:after="0" w:line="240" w:lineRule="auto"/>
              <w:jc w:val="center"/>
              <w:rPr>
                <w:rFonts w:ascii="Calibri" w:eastAsia="Times New Roman" w:hAnsi="Calibri" w:cs="Calibri"/>
                <w:b/>
                <w:bCs/>
                <w:color w:val="000000"/>
              </w:rPr>
            </w:pPr>
            <w:proofErr w:type="gramStart"/>
            <w:r w:rsidRPr="00E22C5D">
              <w:rPr>
                <w:rFonts w:ascii="Calibri" w:eastAsia="Times New Roman" w:hAnsi="Calibri" w:cs="Calibri"/>
                <w:b/>
                <w:bCs/>
                <w:color w:val="000000"/>
              </w:rPr>
              <w:t>contribution</w:t>
            </w:r>
            <w:proofErr w:type="gramEnd"/>
            <w:r w:rsidRPr="00E22C5D">
              <w:rPr>
                <w:rFonts w:ascii="Calibri" w:eastAsia="Times New Roman" w:hAnsi="Calibri" w:cs="Calibri"/>
                <w:b/>
                <w:bCs/>
                <w:color w:val="000000"/>
              </w:rPr>
              <w:t xml:space="preserve"> basée sur le potentiel fiscal</w:t>
            </w:r>
          </w:p>
        </w:tc>
        <w:tc>
          <w:tcPr>
            <w:tcW w:w="1772" w:type="dxa"/>
            <w:tcBorders>
              <w:top w:val="nil"/>
              <w:left w:val="nil"/>
              <w:bottom w:val="nil"/>
              <w:right w:val="single" w:sz="4" w:space="0" w:color="auto"/>
            </w:tcBorders>
            <w:vAlign w:val="center"/>
            <w:hideMark/>
          </w:tcPr>
          <w:p w14:paraId="035DF31C" w14:textId="77777777" w:rsidR="00E22C5D" w:rsidRPr="00E22C5D" w:rsidRDefault="00E22C5D" w:rsidP="00E22C5D">
            <w:pPr>
              <w:spacing w:after="0" w:line="240" w:lineRule="auto"/>
              <w:jc w:val="center"/>
              <w:rPr>
                <w:rFonts w:ascii="Calibri" w:eastAsia="Times New Roman" w:hAnsi="Calibri" w:cs="Calibri"/>
                <w:b/>
                <w:bCs/>
                <w:color w:val="000000"/>
              </w:rPr>
            </w:pPr>
            <w:proofErr w:type="gramStart"/>
            <w:r w:rsidRPr="00E22C5D">
              <w:rPr>
                <w:rFonts w:ascii="Calibri" w:eastAsia="Times New Roman" w:hAnsi="Calibri" w:cs="Calibri"/>
                <w:b/>
                <w:bCs/>
                <w:color w:val="000000"/>
              </w:rPr>
              <w:t>en</w:t>
            </w:r>
            <w:proofErr w:type="gramEnd"/>
            <w:r w:rsidRPr="00E22C5D">
              <w:rPr>
                <w:rFonts w:ascii="Calibri" w:eastAsia="Times New Roman" w:hAnsi="Calibri" w:cs="Calibri"/>
                <w:b/>
                <w:bCs/>
                <w:color w:val="000000"/>
              </w:rPr>
              <w:t xml:space="preserve"> montant</w:t>
            </w:r>
          </w:p>
        </w:tc>
        <w:tc>
          <w:tcPr>
            <w:tcW w:w="1243" w:type="dxa"/>
            <w:tcBorders>
              <w:top w:val="nil"/>
              <w:left w:val="nil"/>
              <w:bottom w:val="single" w:sz="4" w:space="0" w:color="auto"/>
              <w:right w:val="single" w:sz="4" w:space="0" w:color="auto"/>
            </w:tcBorders>
            <w:vAlign w:val="center"/>
            <w:hideMark/>
          </w:tcPr>
          <w:p w14:paraId="46442DC5" w14:textId="77777777" w:rsidR="00E22C5D" w:rsidRPr="00E22C5D" w:rsidRDefault="00E22C5D" w:rsidP="00E22C5D">
            <w:pPr>
              <w:spacing w:after="0" w:line="240" w:lineRule="auto"/>
              <w:jc w:val="center"/>
              <w:rPr>
                <w:rFonts w:ascii="Calibri" w:eastAsia="Times New Roman" w:hAnsi="Calibri" w:cs="Calibri"/>
                <w:b/>
                <w:bCs/>
                <w:i/>
                <w:iCs/>
                <w:color w:val="000000"/>
                <w:sz w:val="20"/>
                <w:szCs w:val="20"/>
              </w:rPr>
            </w:pPr>
            <w:proofErr w:type="gramStart"/>
            <w:r w:rsidRPr="00E22C5D">
              <w:rPr>
                <w:rFonts w:ascii="Calibri" w:eastAsia="Times New Roman" w:hAnsi="Calibri" w:cs="Calibri"/>
                <w:b/>
                <w:bCs/>
                <w:i/>
                <w:iCs/>
                <w:color w:val="000000"/>
                <w:sz w:val="20"/>
                <w:szCs w:val="20"/>
              </w:rPr>
              <w:t>montant</w:t>
            </w:r>
            <w:proofErr w:type="gramEnd"/>
          </w:p>
        </w:tc>
      </w:tr>
      <w:tr w:rsidR="00E22C5D" w:rsidRPr="00E22C5D" w14:paraId="6F6DAD02" w14:textId="77777777" w:rsidTr="00E22C5D">
        <w:trPr>
          <w:trHeight w:val="745"/>
        </w:trPr>
        <w:tc>
          <w:tcPr>
            <w:tcW w:w="2830" w:type="dxa"/>
            <w:tcBorders>
              <w:top w:val="nil"/>
              <w:left w:val="single" w:sz="4" w:space="0" w:color="auto"/>
              <w:bottom w:val="single" w:sz="4" w:space="0" w:color="auto"/>
              <w:right w:val="single" w:sz="4" w:space="0" w:color="auto"/>
            </w:tcBorders>
            <w:vAlign w:val="center"/>
            <w:hideMark/>
          </w:tcPr>
          <w:p w14:paraId="5A4C5D92" w14:textId="77777777" w:rsidR="00E22C5D" w:rsidRPr="00E22C5D" w:rsidRDefault="00E22C5D" w:rsidP="00E22C5D">
            <w:pPr>
              <w:spacing w:after="0" w:line="240" w:lineRule="auto"/>
              <w:rPr>
                <w:rFonts w:ascii="Calibri" w:eastAsia="Times New Roman" w:hAnsi="Calibri" w:cs="Calibri"/>
                <w:color w:val="000000"/>
              </w:rPr>
            </w:pPr>
            <w:r w:rsidRPr="00E22C5D">
              <w:rPr>
                <w:rFonts w:ascii="Calibri" w:eastAsia="Times New Roman" w:hAnsi="Calibri" w:cs="Calibri"/>
                <w:color w:val="000000"/>
              </w:rPr>
              <w:t xml:space="preserve">Communauté d'agglomération </w:t>
            </w:r>
            <w:proofErr w:type="gramStart"/>
            <w:r w:rsidRPr="00E22C5D">
              <w:rPr>
                <w:rFonts w:ascii="Calibri" w:eastAsia="Times New Roman" w:hAnsi="Calibri" w:cs="Calibri"/>
                <w:color w:val="000000"/>
              </w:rPr>
              <w:t>du  Grand</w:t>
            </w:r>
            <w:proofErr w:type="gramEnd"/>
            <w:r w:rsidRPr="00E22C5D">
              <w:rPr>
                <w:rFonts w:ascii="Calibri" w:eastAsia="Times New Roman" w:hAnsi="Calibri" w:cs="Calibri"/>
                <w:color w:val="000000"/>
              </w:rPr>
              <w:t xml:space="preserve"> Sénonais</w:t>
            </w:r>
          </w:p>
        </w:tc>
        <w:tc>
          <w:tcPr>
            <w:tcW w:w="1097" w:type="dxa"/>
            <w:tcBorders>
              <w:top w:val="nil"/>
              <w:left w:val="nil"/>
              <w:bottom w:val="single" w:sz="4" w:space="0" w:color="auto"/>
              <w:right w:val="single" w:sz="4" w:space="0" w:color="auto"/>
            </w:tcBorders>
            <w:shd w:val="clear" w:color="000000" w:fill="FFFFFF"/>
            <w:vAlign w:val="center"/>
            <w:hideMark/>
          </w:tcPr>
          <w:p w14:paraId="3EAE7DE2"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24 483 283,00</w:t>
            </w:r>
          </w:p>
        </w:tc>
        <w:tc>
          <w:tcPr>
            <w:tcW w:w="1018" w:type="dxa"/>
            <w:tcBorders>
              <w:top w:val="nil"/>
              <w:left w:val="nil"/>
              <w:bottom w:val="single" w:sz="4" w:space="0" w:color="auto"/>
              <w:right w:val="single" w:sz="4" w:space="0" w:color="auto"/>
            </w:tcBorders>
            <w:shd w:val="clear" w:color="000000" w:fill="FFFFFF"/>
            <w:vAlign w:val="center"/>
            <w:hideMark/>
          </w:tcPr>
          <w:p w14:paraId="47202AC2"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62 205</w:t>
            </w:r>
          </w:p>
        </w:tc>
        <w:tc>
          <w:tcPr>
            <w:tcW w:w="992" w:type="dxa"/>
            <w:tcBorders>
              <w:top w:val="nil"/>
              <w:left w:val="nil"/>
              <w:bottom w:val="single" w:sz="4" w:space="0" w:color="auto"/>
              <w:right w:val="single" w:sz="4" w:space="0" w:color="auto"/>
            </w:tcBorders>
            <w:vAlign w:val="center"/>
            <w:hideMark/>
          </w:tcPr>
          <w:p w14:paraId="38151E48"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42 358,88</w:t>
            </w:r>
          </w:p>
        </w:tc>
        <w:tc>
          <w:tcPr>
            <w:tcW w:w="965" w:type="dxa"/>
            <w:tcBorders>
              <w:top w:val="nil"/>
              <w:left w:val="nil"/>
              <w:bottom w:val="single" w:sz="4" w:space="0" w:color="auto"/>
              <w:right w:val="single" w:sz="4" w:space="0" w:color="auto"/>
            </w:tcBorders>
            <w:vAlign w:val="center"/>
            <w:hideMark/>
          </w:tcPr>
          <w:p w14:paraId="1D3786C7"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54 788,56</w:t>
            </w:r>
          </w:p>
        </w:tc>
        <w:tc>
          <w:tcPr>
            <w:tcW w:w="1772" w:type="dxa"/>
            <w:tcBorders>
              <w:top w:val="single" w:sz="4" w:space="0" w:color="auto"/>
              <w:left w:val="nil"/>
              <w:bottom w:val="single" w:sz="4" w:space="0" w:color="auto"/>
              <w:right w:val="single" w:sz="4" w:space="0" w:color="auto"/>
            </w:tcBorders>
            <w:shd w:val="clear" w:color="000000" w:fill="FFFFFF"/>
            <w:vAlign w:val="center"/>
            <w:hideMark/>
          </w:tcPr>
          <w:p w14:paraId="763A32DE"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97 147,44</w:t>
            </w:r>
          </w:p>
        </w:tc>
        <w:tc>
          <w:tcPr>
            <w:tcW w:w="1243" w:type="dxa"/>
            <w:tcBorders>
              <w:top w:val="nil"/>
              <w:left w:val="nil"/>
              <w:bottom w:val="single" w:sz="4" w:space="0" w:color="auto"/>
              <w:right w:val="single" w:sz="4" w:space="0" w:color="auto"/>
            </w:tcBorders>
            <w:vAlign w:val="center"/>
            <w:hideMark/>
          </w:tcPr>
          <w:p w14:paraId="31BE5FCB" w14:textId="77777777" w:rsidR="00E22C5D" w:rsidRPr="00E22C5D" w:rsidRDefault="00E22C5D" w:rsidP="00E22C5D">
            <w:pPr>
              <w:spacing w:after="0" w:line="240" w:lineRule="auto"/>
              <w:jc w:val="right"/>
              <w:rPr>
                <w:rFonts w:ascii="Calibri" w:eastAsia="Times New Roman" w:hAnsi="Calibri" w:cs="Calibri"/>
                <w:i/>
                <w:iCs/>
                <w:color w:val="000000"/>
                <w:sz w:val="20"/>
                <w:szCs w:val="20"/>
              </w:rPr>
            </w:pPr>
            <w:r w:rsidRPr="00E22C5D">
              <w:rPr>
                <w:rFonts w:ascii="Calibri" w:eastAsia="Times New Roman" w:hAnsi="Calibri" w:cs="Calibri"/>
                <w:i/>
                <w:iCs/>
                <w:color w:val="000000"/>
                <w:sz w:val="20"/>
                <w:szCs w:val="20"/>
              </w:rPr>
              <w:t xml:space="preserve">69 240,38  </w:t>
            </w:r>
          </w:p>
        </w:tc>
      </w:tr>
      <w:tr w:rsidR="00E22C5D" w:rsidRPr="00E22C5D" w14:paraId="075B5436" w14:textId="77777777" w:rsidTr="00E22C5D">
        <w:trPr>
          <w:trHeight w:val="994"/>
        </w:trPr>
        <w:tc>
          <w:tcPr>
            <w:tcW w:w="2830" w:type="dxa"/>
            <w:tcBorders>
              <w:top w:val="nil"/>
              <w:left w:val="single" w:sz="4" w:space="0" w:color="auto"/>
              <w:bottom w:val="single" w:sz="4" w:space="0" w:color="auto"/>
              <w:right w:val="single" w:sz="4" w:space="0" w:color="auto"/>
            </w:tcBorders>
            <w:vAlign w:val="center"/>
            <w:hideMark/>
          </w:tcPr>
          <w:p w14:paraId="5D9323C1" w14:textId="77777777" w:rsidR="00E22C5D" w:rsidRPr="00E22C5D" w:rsidRDefault="00E22C5D" w:rsidP="00E22C5D">
            <w:pPr>
              <w:spacing w:after="0" w:line="240" w:lineRule="auto"/>
              <w:rPr>
                <w:rFonts w:ascii="Calibri" w:eastAsia="Times New Roman" w:hAnsi="Calibri" w:cs="Calibri"/>
                <w:color w:val="000000"/>
              </w:rPr>
            </w:pPr>
            <w:r w:rsidRPr="00E22C5D">
              <w:rPr>
                <w:rFonts w:ascii="Calibri" w:eastAsia="Times New Roman" w:hAnsi="Calibri" w:cs="Calibri"/>
                <w:color w:val="000000"/>
              </w:rPr>
              <w:t>Communauté de communes du Jovinien</w:t>
            </w:r>
          </w:p>
        </w:tc>
        <w:tc>
          <w:tcPr>
            <w:tcW w:w="1097" w:type="dxa"/>
            <w:tcBorders>
              <w:top w:val="nil"/>
              <w:left w:val="nil"/>
              <w:bottom w:val="single" w:sz="4" w:space="0" w:color="auto"/>
              <w:right w:val="single" w:sz="4" w:space="0" w:color="auto"/>
            </w:tcBorders>
            <w:shd w:val="clear" w:color="000000" w:fill="FFFFFF"/>
            <w:vAlign w:val="center"/>
            <w:hideMark/>
          </w:tcPr>
          <w:p w14:paraId="70CF9108"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8 444 826,00</w:t>
            </w:r>
          </w:p>
        </w:tc>
        <w:tc>
          <w:tcPr>
            <w:tcW w:w="1018" w:type="dxa"/>
            <w:tcBorders>
              <w:top w:val="nil"/>
              <w:left w:val="nil"/>
              <w:bottom w:val="single" w:sz="4" w:space="0" w:color="auto"/>
              <w:right w:val="single" w:sz="4" w:space="0" w:color="auto"/>
            </w:tcBorders>
            <w:shd w:val="clear" w:color="000000" w:fill="FFFFFF"/>
            <w:vAlign w:val="center"/>
            <w:hideMark/>
          </w:tcPr>
          <w:p w14:paraId="65FBCBA7"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22 531</w:t>
            </w:r>
          </w:p>
        </w:tc>
        <w:tc>
          <w:tcPr>
            <w:tcW w:w="992" w:type="dxa"/>
            <w:tcBorders>
              <w:top w:val="nil"/>
              <w:left w:val="nil"/>
              <w:bottom w:val="single" w:sz="4" w:space="0" w:color="auto"/>
              <w:right w:val="single" w:sz="4" w:space="0" w:color="auto"/>
            </w:tcBorders>
            <w:vAlign w:val="center"/>
            <w:hideMark/>
          </w:tcPr>
          <w:p w14:paraId="07C0A74E"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15 342,62</w:t>
            </w:r>
          </w:p>
        </w:tc>
        <w:tc>
          <w:tcPr>
            <w:tcW w:w="965" w:type="dxa"/>
            <w:tcBorders>
              <w:top w:val="nil"/>
              <w:left w:val="nil"/>
              <w:bottom w:val="single" w:sz="4" w:space="0" w:color="auto"/>
              <w:right w:val="single" w:sz="4" w:space="0" w:color="auto"/>
            </w:tcBorders>
            <w:vAlign w:val="center"/>
            <w:hideMark/>
          </w:tcPr>
          <w:p w14:paraId="04DF0274"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18 897,79</w:t>
            </w:r>
          </w:p>
        </w:tc>
        <w:tc>
          <w:tcPr>
            <w:tcW w:w="1772" w:type="dxa"/>
            <w:tcBorders>
              <w:top w:val="nil"/>
              <w:left w:val="nil"/>
              <w:bottom w:val="single" w:sz="4" w:space="0" w:color="auto"/>
              <w:right w:val="single" w:sz="4" w:space="0" w:color="auto"/>
            </w:tcBorders>
            <w:shd w:val="clear" w:color="000000" w:fill="FFFFFF"/>
            <w:vAlign w:val="center"/>
            <w:hideMark/>
          </w:tcPr>
          <w:p w14:paraId="7A6DC892"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34 240,41</w:t>
            </w:r>
          </w:p>
        </w:tc>
        <w:tc>
          <w:tcPr>
            <w:tcW w:w="1243" w:type="dxa"/>
            <w:tcBorders>
              <w:top w:val="nil"/>
              <w:left w:val="nil"/>
              <w:bottom w:val="single" w:sz="4" w:space="0" w:color="auto"/>
              <w:right w:val="single" w:sz="4" w:space="0" w:color="auto"/>
            </w:tcBorders>
            <w:vAlign w:val="center"/>
            <w:hideMark/>
          </w:tcPr>
          <w:p w14:paraId="60B47E3A" w14:textId="77777777" w:rsidR="00E22C5D" w:rsidRPr="00E22C5D" w:rsidRDefault="00E22C5D" w:rsidP="00E22C5D">
            <w:pPr>
              <w:spacing w:after="0" w:line="240" w:lineRule="auto"/>
              <w:jc w:val="right"/>
              <w:rPr>
                <w:rFonts w:ascii="Calibri" w:eastAsia="Times New Roman" w:hAnsi="Calibri" w:cs="Calibri"/>
                <w:i/>
                <w:iCs/>
                <w:color w:val="000000"/>
                <w:sz w:val="20"/>
                <w:szCs w:val="20"/>
              </w:rPr>
            </w:pPr>
            <w:r w:rsidRPr="00E22C5D">
              <w:rPr>
                <w:rFonts w:ascii="Calibri" w:eastAsia="Times New Roman" w:hAnsi="Calibri" w:cs="Calibri"/>
                <w:i/>
                <w:iCs/>
                <w:color w:val="000000"/>
                <w:sz w:val="20"/>
                <w:szCs w:val="20"/>
              </w:rPr>
              <w:t xml:space="preserve">24 395,16  </w:t>
            </w:r>
          </w:p>
        </w:tc>
      </w:tr>
      <w:tr w:rsidR="00E22C5D" w:rsidRPr="00E22C5D" w14:paraId="1448784F" w14:textId="77777777" w:rsidTr="00E22C5D">
        <w:trPr>
          <w:trHeight w:val="745"/>
        </w:trPr>
        <w:tc>
          <w:tcPr>
            <w:tcW w:w="2830" w:type="dxa"/>
            <w:tcBorders>
              <w:top w:val="nil"/>
              <w:left w:val="single" w:sz="4" w:space="0" w:color="auto"/>
              <w:bottom w:val="single" w:sz="4" w:space="0" w:color="auto"/>
              <w:right w:val="single" w:sz="4" w:space="0" w:color="auto"/>
            </w:tcBorders>
            <w:vAlign w:val="center"/>
            <w:hideMark/>
          </w:tcPr>
          <w:p w14:paraId="55BA46A0" w14:textId="77777777" w:rsidR="00E22C5D" w:rsidRPr="00E22C5D" w:rsidRDefault="00E22C5D" w:rsidP="00E22C5D">
            <w:pPr>
              <w:spacing w:after="0" w:line="240" w:lineRule="auto"/>
              <w:rPr>
                <w:rFonts w:ascii="Calibri" w:eastAsia="Times New Roman" w:hAnsi="Calibri" w:cs="Calibri"/>
                <w:color w:val="000000"/>
              </w:rPr>
            </w:pPr>
            <w:r w:rsidRPr="00E22C5D">
              <w:rPr>
                <w:rFonts w:ascii="Calibri" w:eastAsia="Times New Roman" w:hAnsi="Calibri" w:cs="Calibri"/>
                <w:color w:val="000000"/>
              </w:rPr>
              <w:t>Communauté de communes du Gatinais</w:t>
            </w:r>
          </w:p>
        </w:tc>
        <w:tc>
          <w:tcPr>
            <w:tcW w:w="1097" w:type="dxa"/>
            <w:tcBorders>
              <w:top w:val="nil"/>
              <w:left w:val="nil"/>
              <w:bottom w:val="single" w:sz="4" w:space="0" w:color="auto"/>
              <w:right w:val="single" w:sz="4" w:space="0" w:color="auto"/>
            </w:tcBorders>
            <w:shd w:val="clear" w:color="000000" w:fill="FFFFFF"/>
            <w:vAlign w:val="center"/>
            <w:hideMark/>
          </w:tcPr>
          <w:p w14:paraId="66344C01"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4 673 184,00</w:t>
            </w:r>
          </w:p>
        </w:tc>
        <w:tc>
          <w:tcPr>
            <w:tcW w:w="1018" w:type="dxa"/>
            <w:tcBorders>
              <w:top w:val="nil"/>
              <w:left w:val="nil"/>
              <w:bottom w:val="single" w:sz="4" w:space="0" w:color="auto"/>
              <w:right w:val="single" w:sz="4" w:space="0" w:color="auto"/>
            </w:tcBorders>
            <w:shd w:val="clear" w:color="000000" w:fill="FFFFFF"/>
            <w:vAlign w:val="center"/>
            <w:hideMark/>
          </w:tcPr>
          <w:p w14:paraId="7F54A112"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19 483</w:t>
            </w:r>
          </w:p>
        </w:tc>
        <w:tc>
          <w:tcPr>
            <w:tcW w:w="992" w:type="dxa"/>
            <w:tcBorders>
              <w:top w:val="nil"/>
              <w:left w:val="nil"/>
              <w:bottom w:val="single" w:sz="4" w:space="0" w:color="auto"/>
              <w:right w:val="single" w:sz="4" w:space="0" w:color="auto"/>
            </w:tcBorders>
            <w:vAlign w:val="center"/>
            <w:hideMark/>
          </w:tcPr>
          <w:p w14:paraId="6CB42027"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13 267,07</w:t>
            </w:r>
          </w:p>
        </w:tc>
        <w:tc>
          <w:tcPr>
            <w:tcW w:w="965" w:type="dxa"/>
            <w:tcBorders>
              <w:top w:val="nil"/>
              <w:left w:val="nil"/>
              <w:bottom w:val="single" w:sz="4" w:space="0" w:color="auto"/>
              <w:right w:val="single" w:sz="4" w:space="0" w:color="auto"/>
            </w:tcBorders>
            <w:vAlign w:val="center"/>
            <w:hideMark/>
          </w:tcPr>
          <w:p w14:paraId="554278AB"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10 457,63</w:t>
            </w:r>
          </w:p>
        </w:tc>
        <w:tc>
          <w:tcPr>
            <w:tcW w:w="1772" w:type="dxa"/>
            <w:tcBorders>
              <w:top w:val="nil"/>
              <w:left w:val="nil"/>
              <w:bottom w:val="single" w:sz="4" w:space="0" w:color="auto"/>
              <w:right w:val="single" w:sz="4" w:space="0" w:color="auto"/>
            </w:tcBorders>
            <w:shd w:val="clear" w:color="000000" w:fill="FFFFFF"/>
            <w:vAlign w:val="center"/>
            <w:hideMark/>
          </w:tcPr>
          <w:p w14:paraId="721C25BD"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23 724,70</w:t>
            </w:r>
          </w:p>
        </w:tc>
        <w:tc>
          <w:tcPr>
            <w:tcW w:w="1243" w:type="dxa"/>
            <w:tcBorders>
              <w:top w:val="nil"/>
              <w:left w:val="nil"/>
              <w:bottom w:val="single" w:sz="4" w:space="0" w:color="auto"/>
              <w:right w:val="single" w:sz="4" w:space="0" w:color="auto"/>
            </w:tcBorders>
            <w:vAlign w:val="center"/>
            <w:hideMark/>
          </w:tcPr>
          <w:p w14:paraId="3CE0B9E6" w14:textId="77777777" w:rsidR="00E22C5D" w:rsidRPr="00E22C5D" w:rsidRDefault="00E22C5D" w:rsidP="00E22C5D">
            <w:pPr>
              <w:spacing w:after="0" w:line="240" w:lineRule="auto"/>
              <w:jc w:val="right"/>
              <w:rPr>
                <w:rFonts w:ascii="Calibri" w:eastAsia="Times New Roman" w:hAnsi="Calibri" w:cs="Calibri"/>
                <w:i/>
                <w:iCs/>
                <w:color w:val="000000"/>
                <w:sz w:val="20"/>
                <w:szCs w:val="20"/>
              </w:rPr>
            </w:pPr>
            <w:r w:rsidRPr="00E22C5D">
              <w:rPr>
                <w:rFonts w:ascii="Calibri" w:eastAsia="Times New Roman" w:hAnsi="Calibri" w:cs="Calibri"/>
                <w:i/>
                <w:iCs/>
                <w:color w:val="000000"/>
                <w:sz w:val="20"/>
                <w:szCs w:val="20"/>
              </w:rPr>
              <w:t xml:space="preserve">16 903,07  </w:t>
            </w:r>
          </w:p>
        </w:tc>
      </w:tr>
      <w:tr w:rsidR="00E22C5D" w:rsidRPr="00E22C5D" w14:paraId="62837A32" w14:textId="77777777" w:rsidTr="00E22C5D">
        <w:trPr>
          <w:trHeight w:val="745"/>
        </w:trPr>
        <w:tc>
          <w:tcPr>
            <w:tcW w:w="2830" w:type="dxa"/>
            <w:tcBorders>
              <w:top w:val="nil"/>
              <w:left w:val="single" w:sz="4" w:space="0" w:color="auto"/>
              <w:bottom w:val="single" w:sz="4" w:space="0" w:color="auto"/>
              <w:right w:val="single" w:sz="4" w:space="0" w:color="auto"/>
            </w:tcBorders>
            <w:vAlign w:val="center"/>
            <w:hideMark/>
          </w:tcPr>
          <w:p w14:paraId="3B3C3AAD" w14:textId="77777777" w:rsidR="00E22C5D" w:rsidRPr="00E22C5D" w:rsidRDefault="00E22C5D" w:rsidP="00E22C5D">
            <w:pPr>
              <w:spacing w:after="0" w:line="240" w:lineRule="auto"/>
              <w:rPr>
                <w:rFonts w:ascii="Calibri" w:eastAsia="Times New Roman" w:hAnsi="Calibri" w:cs="Calibri"/>
                <w:color w:val="000000"/>
              </w:rPr>
            </w:pPr>
            <w:r w:rsidRPr="00E22C5D">
              <w:rPr>
                <w:rFonts w:ascii="Calibri" w:eastAsia="Times New Roman" w:hAnsi="Calibri" w:cs="Calibri"/>
                <w:color w:val="000000"/>
              </w:rPr>
              <w:t>Communauté de communes de la Vanne et du Pays d'Othe</w:t>
            </w:r>
          </w:p>
        </w:tc>
        <w:tc>
          <w:tcPr>
            <w:tcW w:w="1097" w:type="dxa"/>
            <w:tcBorders>
              <w:top w:val="nil"/>
              <w:left w:val="nil"/>
              <w:bottom w:val="single" w:sz="4" w:space="0" w:color="auto"/>
              <w:right w:val="single" w:sz="4" w:space="0" w:color="auto"/>
            </w:tcBorders>
            <w:shd w:val="clear" w:color="000000" w:fill="FFFFFF"/>
            <w:vAlign w:val="center"/>
            <w:hideMark/>
          </w:tcPr>
          <w:p w14:paraId="10A3DFBC"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1 225 656,00</w:t>
            </w:r>
          </w:p>
        </w:tc>
        <w:tc>
          <w:tcPr>
            <w:tcW w:w="1018" w:type="dxa"/>
            <w:tcBorders>
              <w:top w:val="nil"/>
              <w:left w:val="nil"/>
              <w:bottom w:val="single" w:sz="4" w:space="0" w:color="auto"/>
              <w:right w:val="single" w:sz="4" w:space="0" w:color="auto"/>
            </w:tcBorders>
            <w:shd w:val="clear" w:color="000000" w:fill="FFFFFF"/>
            <w:vAlign w:val="center"/>
            <w:hideMark/>
          </w:tcPr>
          <w:p w14:paraId="79CADD73"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9 483</w:t>
            </w:r>
          </w:p>
        </w:tc>
        <w:tc>
          <w:tcPr>
            <w:tcW w:w="992" w:type="dxa"/>
            <w:tcBorders>
              <w:top w:val="nil"/>
              <w:left w:val="nil"/>
              <w:bottom w:val="single" w:sz="4" w:space="0" w:color="auto"/>
              <w:right w:val="single" w:sz="4" w:space="0" w:color="auto"/>
            </w:tcBorders>
            <w:vAlign w:val="center"/>
            <w:hideMark/>
          </w:tcPr>
          <w:p w14:paraId="769E80C8"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6 457,51</w:t>
            </w:r>
          </w:p>
        </w:tc>
        <w:tc>
          <w:tcPr>
            <w:tcW w:w="965" w:type="dxa"/>
            <w:tcBorders>
              <w:top w:val="nil"/>
              <w:left w:val="nil"/>
              <w:bottom w:val="single" w:sz="4" w:space="0" w:color="auto"/>
              <w:right w:val="single" w:sz="4" w:space="0" w:color="auto"/>
            </w:tcBorders>
            <w:vAlign w:val="center"/>
            <w:hideMark/>
          </w:tcPr>
          <w:p w14:paraId="39BF6A2C"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2 742,77</w:t>
            </w:r>
          </w:p>
        </w:tc>
        <w:tc>
          <w:tcPr>
            <w:tcW w:w="1772" w:type="dxa"/>
            <w:tcBorders>
              <w:top w:val="nil"/>
              <w:left w:val="nil"/>
              <w:bottom w:val="single" w:sz="4" w:space="0" w:color="auto"/>
              <w:right w:val="single" w:sz="4" w:space="0" w:color="auto"/>
            </w:tcBorders>
            <w:shd w:val="clear" w:color="000000" w:fill="FFFFFF"/>
            <w:vAlign w:val="center"/>
            <w:hideMark/>
          </w:tcPr>
          <w:p w14:paraId="7F58FB03"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9 200,28</w:t>
            </w:r>
          </w:p>
        </w:tc>
        <w:tc>
          <w:tcPr>
            <w:tcW w:w="1243" w:type="dxa"/>
            <w:tcBorders>
              <w:top w:val="nil"/>
              <w:left w:val="nil"/>
              <w:bottom w:val="single" w:sz="4" w:space="0" w:color="auto"/>
              <w:right w:val="single" w:sz="4" w:space="0" w:color="auto"/>
            </w:tcBorders>
            <w:vAlign w:val="center"/>
            <w:hideMark/>
          </w:tcPr>
          <w:p w14:paraId="13A2AAE9" w14:textId="77777777" w:rsidR="00E22C5D" w:rsidRPr="00E22C5D" w:rsidRDefault="00E22C5D" w:rsidP="00E22C5D">
            <w:pPr>
              <w:spacing w:after="0" w:line="240" w:lineRule="auto"/>
              <w:jc w:val="right"/>
              <w:rPr>
                <w:rFonts w:ascii="Calibri" w:eastAsia="Times New Roman" w:hAnsi="Calibri" w:cs="Calibri"/>
                <w:i/>
                <w:iCs/>
                <w:color w:val="000000"/>
                <w:sz w:val="20"/>
                <w:szCs w:val="20"/>
              </w:rPr>
            </w:pPr>
            <w:r w:rsidRPr="00E22C5D">
              <w:rPr>
                <w:rFonts w:ascii="Calibri" w:eastAsia="Times New Roman" w:hAnsi="Calibri" w:cs="Calibri"/>
                <w:i/>
                <w:iCs/>
                <w:color w:val="000000"/>
                <w:sz w:val="20"/>
                <w:szCs w:val="20"/>
              </w:rPr>
              <w:t xml:space="preserve">6 554,89  </w:t>
            </w:r>
          </w:p>
        </w:tc>
      </w:tr>
      <w:tr w:rsidR="00E22C5D" w:rsidRPr="00E22C5D" w14:paraId="05D3C192" w14:textId="77777777" w:rsidTr="00E22C5D">
        <w:trPr>
          <w:trHeight w:val="745"/>
        </w:trPr>
        <w:tc>
          <w:tcPr>
            <w:tcW w:w="2830" w:type="dxa"/>
            <w:tcBorders>
              <w:top w:val="nil"/>
              <w:left w:val="single" w:sz="4" w:space="0" w:color="auto"/>
              <w:bottom w:val="single" w:sz="4" w:space="0" w:color="auto"/>
              <w:right w:val="single" w:sz="4" w:space="0" w:color="auto"/>
            </w:tcBorders>
            <w:vAlign w:val="center"/>
            <w:hideMark/>
          </w:tcPr>
          <w:p w14:paraId="68F3A9ED" w14:textId="77777777" w:rsidR="00E22C5D" w:rsidRPr="00E22C5D" w:rsidRDefault="00E22C5D" w:rsidP="00E22C5D">
            <w:pPr>
              <w:spacing w:after="0" w:line="240" w:lineRule="auto"/>
              <w:rPr>
                <w:rFonts w:ascii="Calibri" w:eastAsia="Times New Roman" w:hAnsi="Calibri" w:cs="Calibri"/>
                <w:color w:val="000000"/>
              </w:rPr>
            </w:pPr>
            <w:r w:rsidRPr="00E22C5D">
              <w:rPr>
                <w:rFonts w:ascii="Calibri" w:eastAsia="Times New Roman" w:hAnsi="Calibri" w:cs="Calibri"/>
                <w:color w:val="000000"/>
              </w:rPr>
              <w:t>Communauté de communes de Nord Yonne</w:t>
            </w:r>
          </w:p>
        </w:tc>
        <w:tc>
          <w:tcPr>
            <w:tcW w:w="1097" w:type="dxa"/>
            <w:tcBorders>
              <w:top w:val="nil"/>
              <w:left w:val="nil"/>
              <w:bottom w:val="single" w:sz="4" w:space="0" w:color="auto"/>
              <w:right w:val="single" w:sz="4" w:space="0" w:color="auto"/>
            </w:tcBorders>
            <w:shd w:val="clear" w:color="000000" w:fill="FFFFFF"/>
            <w:vAlign w:val="center"/>
            <w:hideMark/>
          </w:tcPr>
          <w:p w14:paraId="66CADA2A"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3 692 590,00</w:t>
            </w:r>
          </w:p>
        </w:tc>
        <w:tc>
          <w:tcPr>
            <w:tcW w:w="1018" w:type="dxa"/>
            <w:tcBorders>
              <w:top w:val="nil"/>
              <w:left w:val="nil"/>
              <w:bottom w:val="single" w:sz="4" w:space="0" w:color="auto"/>
              <w:right w:val="single" w:sz="4" w:space="0" w:color="auto"/>
            </w:tcBorders>
            <w:shd w:val="clear" w:color="000000" w:fill="FFFFFF"/>
            <w:vAlign w:val="center"/>
            <w:hideMark/>
          </w:tcPr>
          <w:p w14:paraId="0F205AC6"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26 028</w:t>
            </w:r>
          </w:p>
        </w:tc>
        <w:tc>
          <w:tcPr>
            <w:tcW w:w="992" w:type="dxa"/>
            <w:tcBorders>
              <w:top w:val="nil"/>
              <w:left w:val="nil"/>
              <w:bottom w:val="single" w:sz="4" w:space="0" w:color="auto"/>
              <w:right w:val="single" w:sz="4" w:space="0" w:color="auto"/>
            </w:tcBorders>
            <w:vAlign w:val="center"/>
            <w:hideMark/>
          </w:tcPr>
          <w:p w14:paraId="6747056A"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17 723,93</w:t>
            </w:r>
          </w:p>
        </w:tc>
        <w:tc>
          <w:tcPr>
            <w:tcW w:w="965" w:type="dxa"/>
            <w:tcBorders>
              <w:top w:val="nil"/>
              <w:left w:val="nil"/>
              <w:bottom w:val="single" w:sz="4" w:space="0" w:color="auto"/>
              <w:right w:val="single" w:sz="4" w:space="0" w:color="auto"/>
            </w:tcBorders>
            <w:vAlign w:val="center"/>
            <w:hideMark/>
          </w:tcPr>
          <w:p w14:paraId="2AA7A926"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8 263,26</w:t>
            </w:r>
          </w:p>
        </w:tc>
        <w:tc>
          <w:tcPr>
            <w:tcW w:w="1772" w:type="dxa"/>
            <w:tcBorders>
              <w:top w:val="nil"/>
              <w:left w:val="nil"/>
              <w:bottom w:val="single" w:sz="4" w:space="0" w:color="auto"/>
              <w:right w:val="single" w:sz="4" w:space="0" w:color="auto"/>
            </w:tcBorders>
            <w:shd w:val="clear" w:color="000000" w:fill="FFFFFF"/>
            <w:vAlign w:val="center"/>
            <w:hideMark/>
          </w:tcPr>
          <w:p w14:paraId="7D10D105" w14:textId="77777777" w:rsidR="00E22C5D" w:rsidRPr="00E22C5D" w:rsidRDefault="00E22C5D" w:rsidP="00E22C5D">
            <w:pPr>
              <w:spacing w:after="0" w:line="240" w:lineRule="auto"/>
              <w:jc w:val="right"/>
              <w:rPr>
                <w:rFonts w:ascii="Calibri" w:eastAsia="Times New Roman" w:hAnsi="Calibri" w:cs="Calibri"/>
                <w:color w:val="000000"/>
              </w:rPr>
            </w:pPr>
            <w:r w:rsidRPr="00E22C5D">
              <w:rPr>
                <w:rFonts w:ascii="Calibri" w:eastAsia="Times New Roman" w:hAnsi="Calibri" w:cs="Calibri"/>
                <w:color w:val="000000"/>
              </w:rPr>
              <w:t>25 987,19</w:t>
            </w:r>
          </w:p>
        </w:tc>
        <w:tc>
          <w:tcPr>
            <w:tcW w:w="1243" w:type="dxa"/>
            <w:tcBorders>
              <w:top w:val="nil"/>
              <w:left w:val="nil"/>
              <w:bottom w:val="single" w:sz="4" w:space="0" w:color="auto"/>
              <w:right w:val="single" w:sz="4" w:space="0" w:color="auto"/>
            </w:tcBorders>
            <w:vAlign w:val="center"/>
            <w:hideMark/>
          </w:tcPr>
          <w:p w14:paraId="092FB231" w14:textId="77777777" w:rsidR="00E22C5D" w:rsidRPr="00E22C5D" w:rsidRDefault="00E22C5D" w:rsidP="00E22C5D">
            <w:pPr>
              <w:spacing w:after="0" w:line="240" w:lineRule="auto"/>
              <w:jc w:val="right"/>
              <w:rPr>
                <w:rFonts w:ascii="Calibri" w:eastAsia="Times New Roman" w:hAnsi="Calibri" w:cs="Calibri"/>
                <w:i/>
                <w:iCs/>
                <w:color w:val="000000"/>
                <w:sz w:val="20"/>
                <w:szCs w:val="20"/>
              </w:rPr>
            </w:pPr>
            <w:r w:rsidRPr="00E22C5D">
              <w:rPr>
                <w:rFonts w:ascii="Calibri" w:eastAsia="Times New Roman" w:hAnsi="Calibri" w:cs="Calibri"/>
                <w:i/>
                <w:iCs/>
                <w:color w:val="000000"/>
                <w:sz w:val="20"/>
                <w:szCs w:val="20"/>
              </w:rPr>
              <w:t xml:space="preserve">18 515,02  </w:t>
            </w:r>
          </w:p>
        </w:tc>
      </w:tr>
      <w:tr w:rsidR="00E22C5D" w:rsidRPr="00E22C5D" w14:paraId="7355E4EB" w14:textId="77777777" w:rsidTr="00E22C5D">
        <w:trPr>
          <w:trHeight w:val="706"/>
        </w:trPr>
        <w:tc>
          <w:tcPr>
            <w:tcW w:w="2830" w:type="dxa"/>
            <w:tcBorders>
              <w:top w:val="nil"/>
              <w:left w:val="single" w:sz="4" w:space="0" w:color="auto"/>
              <w:bottom w:val="single" w:sz="4" w:space="0" w:color="auto"/>
              <w:right w:val="single" w:sz="4" w:space="0" w:color="auto"/>
            </w:tcBorders>
            <w:vAlign w:val="center"/>
            <w:hideMark/>
          </w:tcPr>
          <w:p w14:paraId="27B5A142" w14:textId="77777777" w:rsidR="00E22C5D" w:rsidRPr="00E22C5D" w:rsidRDefault="00E22C5D" w:rsidP="00E22C5D">
            <w:pPr>
              <w:spacing w:after="0" w:line="240" w:lineRule="auto"/>
              <w:jc w:val="center"/>
              <w:rPr>
                <w:rFonts w:ascii="Calibri" w:eastAsia="Times New Roman" w:hAnsi="Calibri" w:cs="Calibri"/>
                <w:color w:val="000000"/>
              </w:rPr>
            </w:pPr>
            <w:r w:rsidRPr="00E22C5D">
              <w:rPr>
                <w:rFonts w:ascii="Calibri" w:eastAsia="Times New Roman" w:hAnsi="Calibri" w:cs="Calibri"/>
                <w:color w:val="000000"/>
              </w:rPr>
              <w:t>TOTAL</w:t>
            </w:r>
          </w:p>
        </w:tc>
        <w:tc>
          <w:tcPr>
            <w:tcW w:w="1097" w:type="dxa"/>
            <w:tcBorders>
              <w:top w:val="nil"/>
              <w:left w:val="nil"/>
              <w:bottom w:val="single" w:sz="4" w:space="0" w:color="auto"/>
              <w:right w:val="single" w:sz="4" w:space="0" w:color="auto"/>
            </w:tcBorders>
            <w:vAlign w:val="center"/>
            <w:hideMark/>
          </w:tcPr>
          <w:p w14:paraId="7DF822AF" w14:textId="77777777" w:rsidR="00E22C5D" w:rsidRPr="00E22C5D" w:rsidRDefault="00E22C5D" w:rsidP="00E22C5D">
            <w:pPr>
              <w:spacing w:after="0" w:line="240" w:lineRule="auto"/>
              <w:jc w:val="right"/>
              <w:rPr>
                <w:rFonts w:ascii="Calibri" w:eastAsia="Times New Roman" w:hAnsi="Calibri" w:cs="Calibri"/>
                <w:b/>
                <w:bCs/>
                <w:color w:val="000000"/>
              </w:rPr>
            </w:pPr>
            <w:r w:rsidRPr="00E22C5D">
              <w:rPr>
                <w:rFonts w:ascii="Calibri" w:eastAsia="Times New Roman" w:hAnsi="Calibri" w:cs="Calibri"/>
                <w:b/>
                <w:bCs/>
                <w:color w:val="000000"/>
              </w:rPr>
              <w:t>42 519 539,00</w:t>
            </w:r>
          </w:p>
        </w:tc>
        <w:tc>
          <w:tcPr>
            <w:tcW w:w="1018" w:type="dxa"/>
            <w:tcBorders>
              <w:top w:val="nil"/>
              <w:left w:val="nil"/>
              <w:bottom w:val="single" w:sz="4" w:space="0" w:color="auto"/>
              <w:right w:val="single" w:sz="4" w:space="0" w:color="auto"/>
            </w:tcBorders>
            <w:vAlign w:val="center"/>
            <w:hideMark/>
          </w:tcPr>
          <w:p w14:paraId="33579F3E" w14:textId="77777777" w:rsidR="00E22C5D" w:rsidRPr="00E22C5D" w:rsidRDefault="00E22C5D" w:rsidP="00E22C5D">
            <w:pPr>
              <w:spacing w:after="0" w:line="240" w:lineRule="auto"/>
              <w:jc w:val="right"/>
              <w:rPr>
                <w:rFonts w:ascii="Calibri" w:eastAsia="Times New Roman" w:hAnsi="Calibri" w:cs="Calibri"/>
                <w:b/>
                <w:bCs/>
                <w:color w:val="000000"/>
              </w:rPr>
            </w:pPr>
            <w:r w:rsidRPr="00E22C5D">
              <w:rPr>
                <w:rFonts w:ascii="Calibri" w:eastAsia="Times New Roman" w:hAnsi="Calibri" w:cs="Calibri"/>
                <w:b/>
                <w:bCs/>
                <w:color w:val="000000"/>
              </w:rPr>
              <w:t>139 730</w:t>
            </w:r>
          </w:p>
        </w:tc>
        <w:tc>
          <w:tcPr>
            <w:tcW w:w="992" w:type="dxa"/>
            <w:tcBorders>
              <w:top w:val="nil"/>
              <w:left w:val="nil"/>
              <w:bottom w:val="single" w:sz="4" w:space="0" w:color="auto"/>
              <w:right w:val="single" w:sz="4" w:space="0" w:color="auto"/>
            </w:tcBorders>
            <w:vAlign w:val="center"/>
            <w:hideMark/>
          </w:tcPr>
          <w:p w14:paraId="4384D72E" w14:textId="77777777" w:rsidR="00E22C5D" w:rsidRPr="00E22C5D" w:rsidRDefault="00E22C5D" w:rsidP="00E22C5D">
            <w:pPr>
              <w:spacing w:after="0" w:line="240" w:lineRule="auto"/>
              <w:jc w:val="right"/>
              <w:rPr>
                <w:rFonts w:ascii="Calibri" w:eastAsia="Times New Roman" w:hAnsi="Calibri" w:cs="Calibri"/>
                <w:b/>
                <w:bCs/>
                <w:color w:val="000000"/>
              </w:rPr>
            </w:pPr>
            <w:r w:rsidRPr="00E22C5D">
              <w:rPr>
                <w:rFonts w:ascii="Calibri" w:eastAsia="Times New Roman" w:hAnsi="Calibri" w:cs="Calibri"/>
                <w:b/>
                <w:bCs/>
                <w:color w:val="000000"/>
              </w:rPr>
              <w:t>95 150,01</w:t>
            </w:r>
          </w:p>
        </w:tc>
        <w:tc>
          <w:tcPr>
            <w:tcW w:w="965" w:type="dxa"/>
            <w:tcBorders>
              <w:top w:val="nil"/>
              <w:left w:val="nil"/>
              <w:bottom w:val="single" w:sz="4" w:space="0" w:color="auto"/>
              <w:right w:val="single" w:sz="4" w:space="0" w:color="auto"/>
            </w:tcBorders>
            <w:vAlign w:val="center"/>
            <w:hideMark/>
          </w:tcPr>
          <w:p w14:paraId="5A3FC864" w14:textId="77777777" w:rsidR="00E22C5D" w:rsidRPr="00E22C5D" w:rsidRDefault="00E22C5D" w:rsidP="00E22C5D">
            <w:pPr>
              <w:spacing w:after="0" w:line="240" w:lineRule="auto"/>
              <w:jc w:val="right"/>
              <w:rPr>
                <w:rFonts w:ascii="Calibri" w:eastAsia="Times New Roman" w:hAnsi="Calibri" w:cs="Calibri"/>
                <w:b/>
                <w:bCs/>
                <w:color w:val="000000"/>
              </w:rPr>
            </w:pPr>
            <w:r w:rsidRPr="00E22C5D">
              <w:rPr>
                <w:rFonts w:ascii="Calibri" w:eastAsia="Times New Roman" w:hAnsi="Calibri" w:cs="Calibri"/>
                <w:b/>
                <w:bCs/>
                <w:color w:val="000000"/>
              </w:rPr>
              <w:t>95 150,01</w:t>
            </w:r>
          </w:p>
        </w:tc>
        <w:tc>
          <w:tcPr>
            <w:tcW w:w="1772" w:type="dxa"/>
            <w:tcBorders>
              <w:top w:val="nil"/>
              <w:left w:val="nil"/>
              <w:bottom w:val="single" w:sz="4" w:space="0" w:color="auto"/>
              <w:right w:val="single" w:sz="4" w:space="0" w:color="auto"/>
            </w:tcBorders>
            <w:vAlign w:val="center"/>
            <w:hideMark/>
          </w:tcPr>
          <w:p w14:paraId="5BF78582" w14:textId="77777777" w:rsidR="00E22C5D" w:rsidRPr="00E22C5D" w:rsidRDefault="00E22C5D" w:rsidP="00E22C5D">
            <w:pPr>
              <w:spacing w:after="0" w:line="240" w:lineRule="auto"/>
              <w:jc w:val="right"/>
              <w:rPr>
                <w:rFonts w:ascii="Calibri" w:eastAsia="Times New Roman" w:hAnsi="Calibri" w:cs="Calibri"/>
                <w:b/>
                <w:bCs/>
                <w:color w:val="000000"/>
              </w:rPr>
            </w:pPr>
            <w:r w:rsidRPr="00E22C5D">
              <w:rPr>
                <w:rFonts w:ascii="Calibri" w:eastAsia="Times New Roman" w:hAnsi="Calibri" w:cs="Calibri"/>
                <w:b/>
                <w:bCs/>
                <w:color w:val="000000"/>
              </w:rPr>
              <w:t>190 300,02 €</w:t>
            </w:r>
          </w:p>
        </w:tc>
        <w:tc>
          <w:tcPr>
            <w:tcW w:w="1243" w:type="dxa"/>
            <w:tcBorders>
              <w:top w:val="nil"/>
              <w:left w:val="nil"/>
              <w:bottom w:val="single" w:sz="4" w:space="0" w:color="auto"/>
              <w:right w:val="single" w:sz="4" w:space="0" w:color="auto"/>
            </w:tcBorders>
            <w:vAlign w:val="center"/>
            <w:hideMark/>
          </w:tcPr>
          <w:p w14:paraId="41C9BC9F" w14:textId="77777777" w:rsidR="00E22C5D" w:rsidRPr="00E22C5D" w:rsidRDefault="00E22C5D" w:rsidP="00E22C5D">
            <w:pPr>
              <w:spacing w:after="0" w:line="240" w:lineRule="auto"/>
              <w:jc w:val="right"/>
              <w:rPr>
                <w:rFonts w:ascii="Calibri" w:eastAsia="Times New Roman" w:hAnsi="Calibri" w:cs="Calibri"/>
                <w:b/>
                <w:bCs/>
                <w:i/>
                <w:iCs/>
                <w:color w:val="000000"/>
                <w:sz w:val="20"/>
                <w:szCs w:val="20"/>
              </w:rPr>
            </w:pPr>
            <w:r w:rsidRPr="00E22C5D">
              <w:rPr>
                <w:rFonts w:ascii="Calibri" w:eastAsia="Times New Roman" w:hAnsi="Calibri" w:cs="Calibri"/>
                <w:b/>
                <w:bCs/>
                <w:i/>
                <w:iCs/>
                <w:color w:val="000000"/>
                <w:sz w:val="20"/>
                <w:szCs w:val="20"/>
              </w:rPr>
              <w:t xml:space="preserve">135 608,52  </w:t>
            </w:r>
          </w:p>
        </w:tc>
      </w:tr>
    </w:tbl>
    <w:p w14:paraId="543BD428" w14:textId="77777777" w:rsidR="00585E98" w:rsidRPr="00585E98" w:rsidRDefault="00585E98" w:rsidP="00585E98">
      <w:pPr>
        <w:rPr>
          <w:rFonts w:eastAsiaTheme="minorHAnsi" w:cstheme="minorHAnsi"/>
          <w:lang w:eastAsia="en-US"/>
        </w:rPr>
      </w:pPr>
    </w:p>
    <w:sectPr w:rsidR="00585E98" w:rsidRPr="00585E98" w:rsidSect="00577437">
      <w:headerReference w:type="even" r:id="rId12"/>
      <w:headerReference w:type="default" r:id="rId13"/>
      <w:footerReference w:type="even" r:id="rId14"/>
      <w:footerReference w:type="default" r:id="rId15"/>
      <w:headerReference w:type="first" r:id="rId16"/>
      <w:footerReference w:type="first" r:id="rId17"/>
      <w:pgSz w:w="11906" w:h="16838"/>
      <w:pgMar w:top="19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C235" w14:textId="77777777" w:rsidR="00E565A0" w:rsidRDefault="00E565A0" w:rsidP="00AC361B">
      <w:pPr>
        <w:spacing w:after="0" w:line="240" w:lineRule="auto"/>
      </w:pPr>
      <w:r>
        <w:separator/>
      </w:r>
    </w:p>
  </w:endnote>
  <w:endnote w:type="continuationSeparator" w:id="0">
    <w:p w14:paraId="53F4BA9D" w14:textId="77777777" w:rsidR="00E565A0" w:rsidRDefault="00E565A0" w:rsidP="00AC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erstadt">
    <w:charset w:val="00"/>
    <w:family w:val="swiss"/>
    <w:pitch w:val="variable"/>
    <w:sig w:usb0="80000003" w:usb1="00000001"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C30246" w14:paraId="41281EC6" w14:textId="77777777" w:rsidTr="006A1FA6">
      <w:trPr>
        <w:jc w:val="right"/>
      </w:trPr>
      <w:tc>
        <w:tcPr>
          <w:tcW w:w="4795" w:type="dxa"/>
          <w:vAlign w:val="center"/>
        </w:tcPr>
        <w:sdt>
          <w:sdtPr>
            <w:alias w:val="Auteur"/>
            <w:tag w:val=""/>
            <w:id w:val="1534539408"/>
            <w:dataBinding w:prefixMappings="xmlns:ns0='http://purl.org/dc/elements/1.1/' xmlns:ns1='http://schemas.openxmlformats.org/package/2006/metadata/core-properties' " w:xpath="/ns1:coreProperties[1]/ns0:creator[1]" w:storeItemID="{6C3C8BC8-F283-45AE-878A-BAB7291924A1}"/>
            <w:text/>
          </w:sdtPr>
          <w:sdtEndPr/>
          <w:sdtContent>
            <w:p w14:paraId="735BB946" w14:textId="772F4711" w:rsidR="00C30246" w:rsidRPr="008D0716" w:rsidRDefault="00492242">
              <w:pPr>
                <w:pStyle w:val="En-tte"/>
                <w:jc w:val="right"/>
                <w:rPr>
                  <w:caps/>
                  <w:color w:val="000000"/>
                </w:rPr>
              </w:pPr>
              <w:r>
                <w:t xml:space="preserve">Rapport d’orientation budgétaire </w:t>
              </w:r>
              <w:r w:rsidR="002B72A8">
                <w:t>PETR du Nord de l’Yonne 202</w:t>
              </w:r>
              <w:r w:rsidR="000B60AA">
                <w:t>6</w:t>
              </w:r>
            </w:p>
          </w:sdtContent>
        </w:sdt>
      </w:tc>
      <w:tc>
        <w:tcPr>
          <w:tcW w:w="250" w:type="pct"/>
          <w:shd w:val="clear" w:color="auto" w:fill="0070C0"/>
          <w:vAlign w:val="center"/>
        </w:tcPr>
        <w:p w14:paraId="20DFB4CF" w14:textId="77777777" w:rsidR="00C30246" w:rsidRPr="008D0716" w:rsidRDefault="00C30246">
          <w:pPr>
            <w:pStyle w:val="Pieddepage"/>
            <w:jc w:val="center"/>
            <w:rPr>
              <w:color w:val="FFFFFF"/>
            </w:rPr>
          </w:pPr>
          <w:r w:rsidRPr="008D0716">
            <w:rPr>
              <w:color w:val="FFFFFF"/>
            </w:rPr>
            <w:fldChar w:fldCharType="begin"/>
          </w:r>
          <w:r w:rsidRPr="008D0716">
            <w:rPr>
              <w:color w:val="FFFFFF"/>
            </w:rPr>
            <w:instrText>PAGE   \* MERGEFORMAT</w:instrText>
          </w:r>
          <w:r w:rsidRPr="008D0716">
            <w:rPr>
              <w:color w:val="FFFFFF"/>
            </w:rPr>
            <w:fldChar w:fldCharType="separate"/>
          </w:r>
          <w:r w:rsidRPr="008D0716">
            <w:rPr>
              <w:color w:val="FFFFFF"/>
            </w:rPr>
            <w:t>2</w:t>
          </w:r>
          <w:r w:rsidRPr="008D0716">
            <w:rPr>
              <w:color w:val="FFFFFF"/>
            </w:rPr>
            <w:fldChar w:fldCharType="end"/>
          </w:r>
        </w:p>
      </w:tc>
    </w:tr>
  </w:tbl>
  <w:p w14:paraId="3B3166E6" w14:textId="77777777" w:rsidR="00C30246" w:rsidRDefault="00C302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3CBB" w14:textId="77777777" w:rsidR="00AC361B" w:rsidRDefault="00AC361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0B60AA" w14:paraId="740E826E" w14:textId="77777777" w:rsidTr="00A00276">
      <w:trPr>
        <w:jc w:val="right"/>
      </w:trPr>
      <w:tc>
        <w:tcPr>
          <w:tcW w:w="4795" w:type="dxa"/>
          <w:vAlign w:val="center"/>
        </w:tcPr>
        <w:sdt>
          <w:sdtPr>
            <w:alias w:val="Auteur"/>
            <w:tag w:val=""/>
            <w:id w:val="-48388359"/>
            <w:dataBinding w:prefixMappings="xmlns:ns0='http://purl.org/dc/elements/1.1/' xmlns:ns1='http://schemas.openxmlformats.org/package/2006/metadata/core-properties' " w:xpath="/ns1:coreProperties[1]/ns0:creator[1]" w:storeItemID="{6C3C8BC8-F283-45AE-878A-BAB7291924A1}"/>
            <w:text/>
          </w:sdtPr>
          <w:sdtEndPr/>
          <w:sdtContent>
            <w:p w14:paraId="09F4E1E6" w14:textId="77777777" w:rsidR="000B60AA" w:rsidRPr="008D0716" w:rsidRDefault="000B60AA" w:rsidP="000B60AA">
              <w:pPr>
                <w:pStyle w:val="En-tte"/>
                <w:jc w:val="right"/>
                <w:rPr>
                  <w:caps/>
                  <w:color w:val="000000"/>
                </w:rPr>
              </w:pPr>
              <w:r>
                <w:t>Rapport d’orientation budgétaire PETR du Nord de l’Yonne 2026</w:t>
              </w:r>
            </w:p>
          </w:sdtContent>
        </w:sdt>
      </w:tc>
      <w:tc>
        <w:tcPr>
          <w:tcW w:w="250" w:type="pct"/>
          <w:shd w:val="clear" w:color="auto" w:fill="0070C0"/>
          <w:vAlign w:val="center"/>
        </w:tcPr>
        <w:p w14:paraId="128ADB5F" w14:textId="77777777" w:rsidR="000B60AA" w:rsidRPr="008D0716" w:rsidRDefault="000B60AA" w:rsidP="000B60AA">
          <w:pPr>
            <w:pStyle w:val="Pieddepage"/>
            <w:jc w:val="center"/>
            <w:rPr>
              <w:color w:val="FFFFFF"/>
            </w:rPr>
          </w:pPr>
          <w:r w:rsidRPr="008D0716">
            <w:rPr>
              <w:color w:val="FFFFFF"/>
            </w:rPr>
            <w:fldChar w:fldCharType="begin"/>
          </w:r>
          <w:r w:rsidRPr="008D0716">
            <w:rPr>
              <w:color w:val="FFFFFF"/>
            </w:rPr>
            <w:instrText>PAGE   \* MERGEFORMAT</w:instrText>
          </w:r>
          <w:r w:rsidRPr="008D0716">
            <w:rPr>
              <w:color w:val="FFFFFF"/>
            </w:rPr>
            <w:fldChar w:fldCharType="separate"/>
          </w:r>
          <w:r w:rsidRPr="008D0716">
            <w:rPr>
              <w:color w:val="FFFFFF"/>
            </w:rPr>
            <w:t>2</w:t>
          </w:r>
          <w:r w:rsidRPr="008D0716">
            <w:rPr>
              <w:color w:val="FFFFFF"/>
            </w:rPr>
            <w:fldChar w:fldCharType="end"/>
          </w:r>
        </w:p>
      </w:tc>
    </w:tr>
  </w:tbl>
  <w:p w14:paraId="3CA1FF31" w14:textId="77777777" w:rsidR="00AC361B" w:rsidRDefault="00AC361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D159" w14:textId="77777777" w:rsidR="00AC361B" w:rsidRDefault="00AC36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DFC0" w14:textId="77777777" w:rsidR="00E565A0" w:rsidRDefault="00E565A0" w:rsidP="00AC361B">
      <w:pPr>
        <w:spacing w:after="0" w:line="240" w:lineRule="auto"/>
      </w:pPr>
      <w:r>
        <w:separator/>
      </w:r>
    </w:p>
  </w:footnote>
  <w:footnote w:type="continuationSeparator" w:id="0">
    <w:p w14:paraId="52CE8889" w14:textId="77777777" w:rsidR="00E565A0" w:rsidRDefault="00E565A0" w:rsidP="00AC3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F772" w14:textId="77777777" w:rsidR="00C30246" w:rsidRDefault="00C30246">
    <w:pPr>
      <w:pStyle w:val="En-tte"/>
    </w:pPr>
    <w:r w:rsidRPr="00962CD3">
      <w:rPr>
        <w:rFonts w:ascii="Calibri" w:eastAsia="Calibri" w:hAnsi="Calibri" w:cs="Times New Roman"/>
        <w:noProof/>
      </w:rPr>
      <w:drawing>
        <wp:inline distT="0" distB="0" distL="0" distR="0" wp14:anchorId="0D4CB8A9" wp14:editId="5354E144">
          <wp:extent cx="561772" cy="942975"/>
          <wp:effectExtent l="0" t="0" r="0" b="0"/>
          <wp:docPr id="1323354621" name="Image 132335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67" cy="949681"/>
                  </a:xfrm>
                  <a:prstGeom prst="rect">
                    <a:avLst/>
                  </a:prstGeom>
                  <a:noFill/>
                </pic:spPr>
              </pic:pic>
            </a:graphicData>
          </a:graphic>
        </wp:inline>
      </w:drawing>
    </w:r>
  </w:p>
  <w:p w14:paraId="2CD69DAB" w14:textId="77777777" w:rsidR="00C30246" w:rsidRDefault="00C302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B70F" w14:textId="55CC7D3B" w:rsidR="00AC361B" w:rsidRDefault="00AC361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A668" w14:textId="20ED2344" w:rsidR="00AC361B" w:rsidRDefault="00AC361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1E96" w14:textId="24DD387B" w:rsidR="00AC361B" w:rsidRDefault="00AC36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A7C8566"/>
    <w:lvl w:ilvl="0">
      <w:start w:val="1"/>
      <w:numFmt w:val="decimal"/>
      <w:pStyle w:val="Listenumros"/>
      <w:lvlText w:val="%1."/>
      <w:lvlJc w:val="left"/>
      <w:pPr>
        <w:ind w:left="360" w:hanging="360"/>
      </w:pPr>
    </w:lvl>
  </w:abstractNum>
  <w:abstractNum w:abstractNumId="1" w15:restartNumberingAfterBreak="0">
    <w:nsid w:val="FFFFFF89"/>
    <w:multiLevelType w:val="singleLevel"/>
    <w:tmpl w:val="0C347272"/>
    <w:lvl w:ilvl="0">
      <w:start w:val="1"/>
      <w:numFmt w:val="bullet"/>
      <w:pStyle w:val="Listepuces"/>
      <w:lvlText w:val=""/>
      <w:lvlJc w:val="left"/>
      <w:pPr>
        <w:ind w:left="720" w:hanging="360"/>
      </w:pPr>
      <w:rPr>
        <w:rFonts w:ascii="Symbol" w:hAnsi="Symbol" w:hint="default"/>
        <w:color w:val="0D0D0D" w:themeColor="text1" w:themeTint="F2"/>
        <w:u w:color="FF0000"/>
      </w:rPr>
    </w:lvl>
  </w:abstractNum>
  <w:abstractNum w:abstractNumId="2" w15:restartNumberingAfterBreak="0">
    <w:nsid w:val="087D61D6"/>
    <w:multiLevelType w:val="hybridMultilevel"/>
    <w:tmpl w:val="9CD66952"/>
    <w:lvl w:ilvl="0" w:tplc="12DCE3B8">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222C95"/>
    <w:multiLevelType w:val="hybridMultilevel"/>
    <w:tmpl w:val="9A1CACA0"/>
    <w:lvl w:ilvl="0" w:tplc="6E94BAF4">
      <w:start w:val="1"/>
      <w:numFmt w:val="upperRoman"/>
      <w:lvlText w:val="%1)"/>
      <w:lvlJc w:val="left"/>
      <w:pPr>
        <w:ind w:left="72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C663D4B"/>
    <w:multiLevelType w:val="hybridMultilevel"/>
    <w:tmpl w:val="6EBCAE0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6A7BFB"/>
    <w:multiLevelType w:val="hybridMultilevel"/>
    <w:tmpl w:val="9A1CACA0"/>
    <w:lvl w:ilvl="0" w:tplc="FFFFFFFF">
      <w:start w:val="1"/>
      <w:numFmt w:val="upperRoman"/>
      <w:lvlText w:val="%1)"/>
      <w:lvlJc w:val="left"/>
      <w:pPr>
        <w:ind w:left="72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2837687"/>
    <w:multiLevelType w:val="hybridMultilevel"/>
    <w:tmpl w:val="B79C6E1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73C299C"/>
    <w:multiLevelType w:val="multilevel"/>
    <w:tmpl w:val="DE18D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D7799"/>
    <w:multiLevelType w:val="hybridMultilevel"/>
    <w:tmpl w:val="E7F43DC0"/>
    <w:lvl w:ilvl="0" w:tplc="A4700C3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6F1815"/>
    <w:multiLevelType w:val="hybridMultilevel"/>
    <w:tmpl w:val="40124D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845068E"/>
    <w:multiLevelType w:val="hybridMultilevel"/>
    <w:tmpl w:val="6540A1DA"/>
    <w:lvl w:ilvl="0" w:tplc="A42E222E">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42705A"/>
    <w:multiLevelType w:val="hybridMultilevel"/>
    <w:tmpl w:val="91A63B50"/>
    <w:lvl w:ilvl="0" w:tplc="299212A8">
      <w:start w:val="1"/>
      <w:numFmt w:val="bullet"/>
      <w:lvlText w:val=""/>
      <w:lvlJc w:val="left"/>
      <w:pPr>
        <w:ind w:left="1080" w:hanging="360"/>
      </w:pPr>
      <w:rPr>
        <w:rFonts w:ascii="Symbol" w:hAnsi="Symbol" w:hint="default"/>
        <w:u w:color="FF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A8254F7"/>
    <w:multiLevelType w:val="hybridMultilevel"/>
    <w:tmpl w:val="7AC08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947ACE"/>
    <w:multiLevelType w:val="hybridMultilevel"/>
    <w:tmpl w:val="0770934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72ED3D1F"/>
    <w:multiLevelType w:val="hybridMultilevel"/>
    <w:tmpl w:val="7EDE92A8"/>
    <w:lvl w:ilvl="0" w:tplc="7B0037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3EA287A"/>
    <w:multiLevelType w:val="hybridMultilevel"/>
    <w:tmpl w:val="A2D42124"/>
    <w:lvl w:ilvl="0" w:tplc="A42E222E">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6825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281039">
    <w:abstractNumId w:val="7"/>
  </w:num>
  <w:num w:numId="3" w16cid:durableId="486243354">
    <w:abstractNumId w:val="3"/>
  </w:num>
  <w:num w:numId="4" w16cid:durableId="486289867">
    <w:abstractNumId w:val="5"/>
  </w:num>
  <w:num w:numId="5" w16cid:durableId="186143835">
    <w:abstractNumId w:val="1"/>
  </w:num>
  <w:num w:numId="6" w16cid:durableId="368575511">
    <w:abstractNumId w:val="0"/>
  </w:num>
  <w:num w:numId="7" w16cid:durableId="924806676">
    <w:abstractNumId w:val="6"/>
  </w:num>
  <w:num w:numId="8" w16cid:durableId="520897159">
    <w:abstractNumId w:val="13"/>
  </w:num>
  <w:num w:numId="9" w16cid:durableId="2898982">
    <w:abstractNumId w:val="9"/>
  </w:num>
  <w:num w:numId="10" w16cid:durableId="80296633">
    <w:abstractNumId w:val="4"/>
  </w:num>
  <w:num w:numId="11" w16cid:durableId="159085610">
    <w:abstractNumId w:val="11"/>
  </w:num>
  <w:num w:numId="12" w16cid:durableId="1431656999">
    <w:abstractNumId w:val="15"/>
  </w:num>
  <w:num w:numId="13" w16cid:durableId="1957564882">
    <w:abstractNumId w:val="10"/>
  </w:num>
  <w:num w:numId="14" w16cid:durableId="2042122086">
    <w:abstractNumId w:val="8"/>
  </w:num>
  <w:num w:numId="15" w16cid:durableId="2127038472">
    <w:abstractNumId w:val="14"/>
  </w:num>
  <w:num w:numId="16" w16cid:durableId="1736078737">
    <w:abstractNumId w:val="2"/>
  </w:num>
  <w:num w:numId="17" w16cid:durableId="1426609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86"/>
    <w:rsid w:val="00007330"/>
    <w:rsid w:val="000152C2"/>
    <w:rsid w:val="00042330"/>
    <w:rsid w:val="00047E7A"/>
    <w:rsid w:val="000551E0"/>
    <w:rsid w:val="00084DAC"/>
    <w:rsid w:val="000A1270"/>
    <w:rsid w:val="000A7EE2"/>
    <w:rsid w:val="000B60AA"/>
    <w:rsid w:val="000D367A"/>
    <w:rsid w:val="000D3970"/>
    <w:rsid w:val="000D54BA"/>
    <w:rsid w:val="00102B1E"/>
    <w:rsid w:val="00102E1C"/>
    <w:rsid w:val="0011503A"/>
    <w:rsid w:val="00123266"/>
    <w:rsid w:val="0013725A"/>
    <w:rsid w:val="00141719"/>
    <w:rsid w:val="001B76CA"/>
    <w:rsid w:val="001C0945"/>
    <w:rsid w:val="001C53E7"/>
    <w:rsid w:val="001F0A54"/>
    <w:rsid w:val="0020190C"/>
    <w:rsid w:val="00205F6E"/>
    <w:rsid w:val="00206C18"/>
    <w:rsid w:val="0021316A"/>
    <w:rsid w:val="002145F6"/>
    <w:rsid w:val="00222325"/>
    <w:rsid w:val="002264CD"/>
    <w:rsid w:val="002413F2"/>
    <w:rsid w:val="0025745A"/>
    <w:rsid w:val="002B10DE"/>
    <w:rsid w:val="002B72A8"/>
    <w:rsid w:val="002D4D98"/>
    <w:rsid w:val="002E3E18"/>
    <w:rsid w:val="003018B9"/>
    <w:rsid w:val="00306E2C"/>
    <w:rsid w:val="00353F40"/>
    <w:rsid w:val="003C1A9D"/>
    <w:rsid w:val="003E3985"/>
    <w:rsid w:val="003F2679"/>
    <w:rsid w:val="0047010C"/>
    <w:rsid w:val="00471C70"/>
    <w:rsid w:val="00484AF5"/>
    <w:rsid w:val="00491D7D"/>
    <w:rsid w:val="00492242"/>
    <w:rsid w:val="004A6E87"/>
    <w:rsid w:val="004E3A81"/>
    <w:rsid w:val="004F5248"/>
    <w:rsid w:val="00513DA8"/>
    <w:rsid w:val="00520C58"/>
    <w:rsid w:val="00577437"/>
    <w:rsid w:val="00585E98"/>
    <w:rsid w:val="00596B42"/>
    <w:rsid w:val="005A2372"/>
    <w:rsid w:val="005A6367"/>
    <w:rsid w:val="005C0748"/>
    <w:rsid w:val="005D4BCF"/>
    <w:rsid w:val="005E7EFA"/>
    <w:rsid w:val="0060399D"/>
    <w:rsid w:val="0061191E"/>
    <w:rsid w:val="00612D9D"/>
    <w:rsid w:val="00617EB4"/>
    <w:rsid w:val="00641F58"/>
    <w:rsid w:val="006546A6"/>
    <w:rsid w:val="00671D57"/>
    <w:rsid w:val="00696E1F"/>
    <w:rsid w:val="006A1F9B"/>
    <w:rsid w:val="00706A66"/>
    <w:rsid w:val="007072B4"/>
    <w:rsid w:val="00707D43"/>
    <w:rsid w:val="00725E53"/>
    <w:rsid w:val="007454DA"/>
    <w:rsid w:val="00772109"/>
    <w:rsid w:val="00777F89"/>
    <w:rsid w:val="00806D29"/>
    <w:rsid w:val="008223F5"/>
    <w:rsid w:val="0083672F"/>
    <w:rsid w:val="00854711"/>
    <w:rsid w:val="0086455B"/>
    <w:rsid w:val="00867F66"/>
    <w:rsid w:val="00874F6C"/>
    <w:rsid w:val="00875CA6"/>
    <w:rsid w:val="00876C2A"/>
    <w:rsid w:val="008A7DB1"/>
    <w:rsid w:val="008B2D84"/>
    <w:rsid w:val="008C5A30"/>
    <w:rsid w:val="008F1567"/>
    <w:rsid w:val="00902686"/>
    <w:rsid w:val="009119D5"/>
    <w:rsid w:val="0093462E"/>
    <w:rsid w:val="00956864"/>
    <w:rsid w:val="00966523"/>
    <w:rsid w:val="00993B25"/>
    <w:rsid w:val="009D7F15"/>
    <w:rsid w:val="009F3722"/>
    <w:rsid w:val="00A2328A"/>
    <w:rsid w:val="00A31FA0"/>
    <w:rsid w:val="00A331FC"/>
    <w:rsid w:val="00AC361B"/>
    <w:rsid w:val="00AC5E14"/>
    <w:rsid w:val="00AD2A79"/>
    <w:rsid w:val="00AF6F19"/>
    <w:rsid w:val="00B0149A"/>
    <w:rsid w:val="00B43D8F"/>
    <w:rsid w:val="00B76BCC"/>
    <w:rsid w:val="00B77970"/>
    <w:rsid w:val="00B94B62"/>
    <w:rsid w:val="00BA557D"/>
    <w:rsid w:val="00BF2A2D"/>
    <w:rsid w:val="00BF2C1F"/>
    <w:rsid w:val="00C045BC"/>
    <w:rsid w:val="00C125AC"/>
    <w:rsid w:val="00C30246"/>
    <w:rsid w:val="00C34E5B"/>
    <w:rsid w:val="00C5659D"/>
    <w:rsid w:val="00CB7C92"/>
    <w:rsid w:val="00CE49FE"/>
    <w:rsid w:val="00D01587"/>
    <w:rsid w:val="00D060FA"/>
    <w:rsid w:val="00D07A86"/>
    <w:rsid w:val="00D20E67"/>
    <w:rsid w:val="00D47D5B"/>
    <w:rsid w:val="00D54ED0"/>
    <w:rsid w:val="00DB47D4"/>
    <w:rsid w:val="00DC2E3D"/>
    <w:rsid w:val="00DC5A67"/>
    <w:rsid w:val="00DD173B"/>
    <w:rsid w:val="00DD531D"/>
    <w:rsid w:val="00E22C5D"/>
    <w:rsid w:val="00E50F67"/>
    <w:rsid w:val="00E565A0"/>
    <w:rsid w:val="00E57DCF"/>
    <w:rsid w:val="00E920C9"/>
    <w:rsid w:val="00EA1D5F"/>
    <w:rsid w:val="00F10E2E"/>
    <w:rsid w:val="00F202C3"/>
    <w:rsid w:val="00F4207A"/>
    <w:rsid w:val="00F44F48"/>
    <w:rsid w:val="00F55676"/>
    <w:rsid w:val="00F644B2"/>
    <w:rsid w:val="00F6519A"/>
    <w:rsid w:val="00F658D7"/>
    <w:rsid w:val="00F72AAB"/>
    <w:rsid w:val="00F74CCF"/>
    <w:rsid w:val="00F95171"/>
    <w:rsid w:val="00FA4516"/>
    <w:rsid w:val="00FA732C"/>
    <w:rsid w:val="00FC1CBF"/>
    <w:rsid w:val="00FC7EA5"/>
    <w:rsid w:val="00FD5D8B"/>
    <w:rsid w:val="00FE7837"/>
    <w:rsid w:val="4F4854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8B2D2"/>
  <w15:chartTrackingRefBased/>
  <w15:docId w15:val="{45A82BA2-5B6F-43A3-95D2-BDA6DE68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9D"/>
    <w:pPr>
      <w:spacing w:line="256" w:lineRule="auto"/>
    </w:pPr>
    <w:rPr>
      <w:rFonts w:eastAsiaTheme="minorEastAsia"/>
      <w:kern w:val="0"/>
      <w:lang w:eastAsia="fr-FR"/>
      <w14:ligatures w14:val="none"/>
    </w:rPr>
  </w:style>
  <w:style w:type="paragraph" w:styleId="Titre1">
    <w:name w:val="heading 1"/>
    <w:basedOn w:val="Normal"/>
    <w:next w:val="Normal"/>
    <w:link w:val="Titre1Car"/>
    <w:autoRedefine/>
    <w:uiPriority w:val="4"/>
    <w:rsid w:val="0025745A"/>
    <w:pPr>
      <w:keepNext/>
      <w:keepLines/>
      <w:spacing w:before="960" w:after="60" w:line="264" w:lineRule="auto"/>
      <w:outlineLvl w:val="0"/>
    </w:pPr>
    <w:rPr>
      <w:rFonts w:ascii="Bierstadt" w:eastAsiaTheme="majorEastAsia" w:hAnsi="Bierstadt" w:cs="Times New Roman (Headings CS)"/>
      <w:b/>
      <w:caps/>
      <w:color w:val="44546A" w:themeColor="text2"/>
      <w:sz w:val="30"/>
      <w:szCs w:val="30"/>
      <w:lang w:eastAsia="ja-JP"/>
    </w:rPr>
  </w:style>
  <w:style w:type="paragraph" w:styleId="Titre2">
    <w:name w:val="heading 2"/>
    <w:basedOn w:val="Normal"/>
    <w:next w:val="Normal"/>
    <w:link w:val="Titre2Car"/>
    <w:autoRedefine/>
    <w:uiPriority w:val="4"/>
    <w:rsid w:val="000D367A"/>
    <w:pPr>
      <w:keepNext/>
      <w:keepLines/>
      <w:spacing w:before="240" w:after="0" w:line="264" w:lineRule="auto"/>
      <w:jc w:val="both"/>
      <w:outlineLvl w:val="1"/>
    </w:pPr>
    <w:rPr>
      <w:rFonts w:asciiTheme="majorHAnsi" w:eastAsiaTheme="majorEastAsia" w:hAnsiTheme="majorHAnsi" w:cstheme="majorBidi"/>
      <w:b/>
      <w:bCs/>
      <w:caps/>
      <w:color w:val="4472C4" w:themeColor="accent1"/>
      <w:lang w:eastAsia="ja-JP"/>
    </w:rPr>
  </w:style>
  <w:style w:type="paragraph" w:styleId="Titre3">
    <w:name w:val="heading 3"/>
    <w:basedOn w:val="Normal"/>
    <w:next w:val="Normal"/>
    <w:link w:val="Titre3Car"/>
    <w:uiPriority w:val="4"/>
    <w:semiHidden/>
    <w:unhideWhenUsed/>
    <w:rsid w:val="0025745A"/>
    <w:pPr>
      <w:keepNext/>
      <w:keepLines/>
      <w:spacing w:before="200" w:after="0" w:line="264" w:lineRule="auto"/>
      <w:outlineLvl w:val="2"/>
    </w:pPr>
    <w:rPr>
      <w:rFonts w:asciiTheme="majorHAnsi" w:eastAsiaTheme="majorEastAsia" w:hAnsiTheme="majorHAnsi" w:cstheme="majorBidi"/>
      <w:color w:val="4472C4" w:themeColor="accent1"/>
      <w:lang w:eastAsia="ja-JP"/>
    </w:rPr>
  </w:style>
  <w:style w:type="paragraph" w:styleId="Titre5">
    <w:name w:val="heading 5"/>
    <w:basedOn w:val="Normal"/>
    <w:next w:val="Normal"/>
    <w:link w:val="Titre5Car"/>
    <w:uiPriority w:val="4"/>
    <w:semiHidden/>
    <w:unhideWhenUsed/>
    <w:qFormat/>
    <w:rsid w:val="0025745A"/>
    <w:pPr>
      <w:keepNext/>
      <w:keepLines/>
      <w:spacing w:before="200" w:after="0" w:line="264" w:lineRule="auto"/>
      <w:outlineLvl w:val="4"/>
    </w:pPr>
    <w:rPr>
      <w:rFonts w:asciiTheme="majorHAnsi" w:eastAsiaTheme="majorEastAsia" w:hAnsiTheme="majorHAnsi" w:cstheme="majorBidi"/>
      <w:color w:val="1F3864" w:themeColor="accent1" w:themeShade="80"/>
      <w:lang w:eastAsia="ja-JP"/>
    </w:rPr>
  </w:style>
  <w:style w:type="paragraph" w:styleId="Titre6">
    <w:name w:val="heading 6"/>
    <w:basedOn w:val="Normal"/>
    <w:next w:val="Normal"/>
    <w:link w:val="Titre6Car"/>
    <w:uiPriority w:val="4"/>
    <w:semiHidden/>
    <w:unhideWhenUsed/>
    <w:qFormat/>
    <w:rsid w:val="0025745A"/>
    <w:pPr>
      <w:keepNext/>
      <w:keepLines/>
      <w:spacing w:before="200" w:after="0" w:line="264" w:lineRule="auto"/>
      <w:outlineLvl w:val="5"/>
    </w:pPr>
    <w:rPr>
      <w:rFonts w:asciiTheme="majorHAnsi" w:eastAsiaTheme="majorEastAsia" w:hAnsiTheme="majorHAnsi" w:cstheme="majorBidi"/>
      <w:i/>
      <w:iCs/>
      <w:color w:val="1F3763" w:themeColor="accent1" w:themeShade="7F"/>
      <w:lang w:eastAsia="ja-JP"/>
    </w:rPr>
  </w:style>
  <w:style w:type="paragraph" w:styleId="Titre8">
    <w:name w:val="heading 8"/>
    <w:basedOn w:val="Normal"/>
    <w:next w:val="Normal"/>
    <w:link w:val="Titre8Car"/>
    <w:uiPriority w:val="4"/>
    <w:semiHidden/>
    <w:unhideWhenUsed/>
    <w:qFormat/>
    <w:rsid w:val="0025745A"/>
    <w:pPr>
      <w:keepNext/>
      <w:keepLines/>
      <w:spacing w:before="40" w:after="0" w:line="264" w:lineRule="auto"/>
      <w:outlineLvl w:val="7"/>
    </w:pPr>
    <w:rPr>
      <w:rFonts w:asciiTheme="majorHAnsi" w:eastAsiaTheme="majorEastAsia" w:hAnsiTheme="majorHAnsi" w:cstheme="majorBidi"/>
      <w:color w:val="272727" w:themeColor="text1" w:themeTint="D8"/>
      <w:szCs w:val="21"/>
      <w:lang w:eastAsia="ja-JP"/>
    </w:rPr>
  </w:style>
  <w:style w:type="paragraph" w:styleId="Titre9">
    <w:name w:val="heading 9"/>
    <w:basedOn w:val="Normal"/>
    <w:next w:val="Normal"/>
    <w:link w:val="Titre9Car"/>
    <w:uiPriority w:val="4"/>
    <w:semiHidden/>
    <w:unhideWhenUsed/>
    <w:qFormat/>
    <w:rsid w:val="0025745A"/>
    <w:pPr>
      <w:keepNext/>
      <w:keepLines/>
      <w:spacing w:before="40" w:after="0" w:line="264" w:lineRule="auto"/>
      <w:outlineLvl w:val="8"/>
    </w:pPr>
    <w:rPr>
      <w:rFonts w:asciiTheme="majorHAnsi" w:eastAsiaTheme="majorEastAsia" w:hAnsiTheme="majorHAnsi" w:cstheme="majorBidi"/>
      <w:i/>
      <w:iCs/>
      <w:color w:val="272727" w:themeColor="text1" w:themeTint="D8"/>
      <w:szCs w:val="21"/>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0399D"/>
    <w:rPr>
      <w:color w:val="0000FF"/>
      <w:u w:val="single"/>
    </w:rPr>
  </w:style>
  <w:style w:type="paragraph" w:styleId="Paragraphedeliste">
    <w:name w:val="List Paragraph"/>
    <w:basedOn w:val="Normal"/>
    <w:link w:val="ParagraphedelisteCar"/>
    <w:uiPriority w:val="34"/>
    <w:qFormat/>
    <w:rsid w:val="005D4BCF"/>
    <w:pPr>
      <w:ind w:left="720"/>
      <w:contextualSpacing/>
    </w:pPr>
  </w:style>
  <w:style w:type="paragraph" w:styleId="En-tte">
    <w:name w:val="header"/>
    <w:basedOn w:val="Normal"/>
    <w:link w:val="En-tteCar"/>
    <w:uiPriority w:val="8"/>
    <w:unhideWhenUsed/>
    <w:rsid w:val="00AC361B"/>
    <w:pPr>
      <w:tabs>
        <w:tab w:val="center" w:pos="4536"/>
        <w:tab w:val="right" w:pos="9072"/>
      </w:tabs>
      <w:spacing w:after="0" w:line="240" w:lineRule="auto"/>
    </w:pPr>
  </w:style>
  <w:style w:type="character" w:customStyle="1" w:styleId="En-tteCar">
    <w:name w:val="En-tête Car"/>
    <w:basedOn w:val="Policepardfaut"/>
    <w:link w:val="En-tte"/>
    <w:uiPriority w:val="8"/>
    <w:rsid w:val="00AC361B"/>
    <w:rPr>
      <w:rFonts w:eastAsiaTheme="minorEastAsia"/>
      <w:kern w:val="0"/>
      <w:lang w:eastAsia="fr-FR"/>
      <w14:ligatures w14:val="none"/>
    </w:rPr>
  </w:style>
  <w:style w:type="paragraph" w:styleId="Pieddepage">
    <w:name w:val="footer"/>
    <w:basedOn w:val="Normal"/>
    <w:link w:val="PieddepageCar"/>
    <w:uiPriority w:val="99"/>
    <w:unhideWhenUsed/>
    <w:rsid w:val="00AC361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361B"/>
    <w:rPr>
      <w:rFonts w:eastAsiaTheme="minorEastAsia"/>
      <w:kern w:val="0"/>
      <w:lang w:eastAsia="fr-FR"/>
      <w14:ligatures w14:val="none"/>
    </w:rPr>
  </w:style>
  <w:style w:type="character" w:customStyle="1" w:styleId="ParagraphedelisteCar">
    <w:name w:val="Paragraphe de liste Car"/>
    <w:basedOn w:val="Policepardfaut"/>
    <w:link w:val="Paragraphedeliste"/>
    <w:uiPriority w:val="34"/>
    <w:rsid w:val="00C30246"/>
    <w:rPr>
      <w:rFonts w:eastAsiaTheme="minorEastAsia"/>
      <w:kern w:val="0"/>
      <w:lang w:eastAsia="fr-FR"/>
      <w14:ligatures w14:val="none"/>
    </w:rPr>
  </w:style>
  <w:style w:type="character" w:customStyle="1" w:styleId="Titre1Car">
    <w:name w:val="Titre 1 Car"/>
    <w:basedOn w:val="Policepardfaut"/>
    <w:link w:val="Titre1"/>
    <w:uiPriority w:val="4"/>
    <w:rsid w:val="0025745A"/>
    <w:rPr>
      <w:rFonts w:ascii="Bierstadt" w:eastAsiaTheme="majorEastAsia" w:hAnsi="Bierstadt" w:cs="Times New Roman (Headings CS)"/>
      <w:b/>
      <w:caps/>
      <w:color w:val="44546A" w:themeColor="text2"/>
      <w:kern w:val="0"/>
      <w:sz w:val="30"/>
      <w:szCs w:val="30"/>
      <w:lang w:eastAsia="ja-JP"/>
      <w14:ligatures w14:val="none"/>
    </w:rPr>
  </w:style>
  <w:style w:type="character" w:customStyle="1" w:styleId="Titre2Car">
    <w:name w:val="Titre 2 Car"/>
    <w:basedOn w:val="Policepardfaut"/>
    <w:link w:val="Titre2"/>
    <w:uiPriority w:val="4"/>
    <w:rsid w:val="000D367A"/>
    <w:rPr>
      <w:rFonts w:asciiTheme="majorHAnsi" w:eastAsiaTheme="majorEastAsia" w:hAnsiTheme="majorHAnsi" w:cstheme="majorBidi"/>
      <w:b/>
      <w:bCs/>
      <w:caps/>
      <w:color w:val="4472C4" w:themeColor="accent1"/>
      <w:kern w:val="0"/>
      <w:lang w:eastAsia="ja-JP"/>
      <w14:ligatures w14:val="none"/>
    </w:rPr>
  </w:style>
  <w:style w:type="character" w:customStyle="1" w:styleId="Titre3Car">
    <w:name w:val="Titre 3 Car"/>
    <w:basedOn w:val="Policepardfaut"/>
    <w:link w:val="Titre3"/>
    <w:uiPriority w:val="4"/>
    <w:semiHidden/>
    <w:rsid w:val="0025745A"/>
    <w:rPr>
      <w:rFonts w:asciiTheme="majorHAnsi" w:eastAsiaTheme="majorEastAsia" w:hAnsiTheme="majorHAnsi" w:cstheme="majorBidi"/>
      <w:color w:val="4472C4" w:themeColor="accent1"/>
      <w:kern w:val="0"/>
      <w:lang w:eastAsia="ja-JP"/>
      <w14:ligatures w14:val="none"/>
    </w:rPr>
  </w:style>
  <w:style w:type="character" w:customStyle="1" w:styleId="Titre5Car">
    <w:name w:val="Titre 5 Car"/>
    <w:basedOn w:val="Policepardfaut"/>
    <w:link w:val="Titre5"/>
    <w:uiPriority w:val="4"/>
    <w:semiHidden/>
    <w:rsid w:val="0025745A"/>
    <w:rPr>
      <w:rFonts w:asciiTheme="majorHAnsi" w:eastAsiaTheme="majorEastAsia" w:hAnsiTheme="majorHAnsi" w:cstheme="majorBidi"/>
      <w:color w:val="1F3864" w:themeColor="accent1" w:themeShade="80"/>
      <w:kern w:val="0"/>
      <w:lang w:eastAsia="ja-JP"/>
      <w14:ligatures w14:val="none"/>
    </w:rPr>
  </w:style>
  <w:style w:type="character" w:customStyle="1" w:styleId="Titre6Car">
    <w:name w:val="Titre 6 Car"/>
    <w:basedOn w:val="Policepardfaut"/>
    <w:link w:val="Titre6"/>
    <w:uiPriority w:val="4"/>
    <w:semiHidden/>
    <w:rsid w:val="0025745A"/>
    <w:rPr>
      <w:rFonts w:asciiTheme="majorHAnsi" w:eastAsiaTheme="majorEastAsia" w:hAnsiTheme="majorHAnsi" w:cstheme="majorBidi"/>
      <w:i/>
      <w:iCs/>
      <w:color w:val="1F3763" w:themeColor="accent1" w:themeShade="7F"/>
      <w:kern w:val="0"/>
      <w:lang w:eastAsia="ja-JP"/>
      <w14:ligatures w14:val="none"/>
    </w:rPr>
  </w:style>
  <w:style w:type="character" w:customStyle="1" w:styleId="Titre8Car">
    <w:name w:val="Titre 8 Car"/>
    <w:basedOn w:val="Policepardfaut"/>
    <w:link w:val="Titre8"/>
    <w:uiPriority w:val="4"/>
    <w:semiHidden/>
    <w:rsid w:val="0025745A"/>
    <w:rPr>
      <w:rFonts w:asciiTheme="majorHAnsi" w:eastAsiaTheme="majorEastAsia" w:hAnsiTheme="majorHAnsi" w:cstheme="majorBidi"/>
      <w:color w:val="272727" w:themeColor="text1" w:themeTint="D8"/>
      <w:kern w:val="0"/>
      <w:szCs w:val="21"/>
      <w:lang w:eastAsia="ja-JP"/>
      <w14:ligatures w14:val="none"/>
    </w:rPr>
  </w:style>
  <w:style w:type="character" w:customStyle="1" w:styleId="Titre9Car">
    <w:name w:val="Titre 9 Car"/>
    <w:basedOn w:val="Policepardfaut"/>
    <w:link w:val="Titre9"/>
    <w:uiPriority w:val="4"/>
    <w:semiHidden/>
    <w:rsid w:val="0025745A"/>
    <w:rPr>
      <w:rFonts w:asciiTheme="majorHAnsi" w:eastAsiaTheme="majorEastAsia" w:hAnsiTheme="majorHAnsi" w:cstheme="majorBidi"/>
      <w:i/>
      <w:iCs/>
      <w:color w:val="272727" w:themeColor="text1" w:themeTint="D8"/>
      <w:kern w:val="0"/>
      <w:szCs w:val="21"/>
      <w:lang w:eastAsia="ja-JP"/>
      <w14:ligatures w14:val="none"/>
    </w:rPr>
  </w:style>
  <w:style w:type="table" w:styleId="Ombrageclair">
    <w:name w:val="Light Shading"/>
    <w:basedOn w:val="TableauNormal"/>
    <w:uiPriority w:val="60"/>
    <w:rsid w:val="0025745A"/>
    <w:pPr>
      <w:spacing w:before="40" w:after="40" w:line="240" w:lineRule="auto"/>
    </w:pPr>
    <w:rPr>
      <w:rFonts w:asciiTheme="majorHAnsi" w:eastAsiaTheme="majorEastAsia" w:hAnsiTheme="majorHAnsi" w:cstheme="majorBidi"/>
      <w:color w:val="000000" w:themeColor="text1"/>
      <w:kern w:val="0"/>
      <w:lang w:eastAsia="ja-JP"/>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ordonnes">
    <w:name w:val="Coordonnées"/>
    <w:basedOn w:val="Normal"/>
    <w:uiPriority w:val="4"/>
    <w:qFormat/>
    <w:rsid w:val="0025745A"/>
    <w:pPr>
      <w:spacing w:before="360" w:after="0" w:line="264" w:lineRule="auto"/>
      <w:ind w:left="1332"/>
      <w:contextualSpacing/>
    </w:pPr>
    <w:rPr>
      <w:rFonts w:ascii="Calibri" w:hAnsi="Calibri" w:cs="Times New Roman (Body CS)"/>
      <w:bCs/>
      <w:caps/>
      <w:color w:val="FFFFFF" w:themeColor="background1"/>
      <w:sz w:val="32"/>
      <w:lang w:eastAsia="ja-JP"/>
    </w:rPr>
  </w:style>
  <w:style w:type="paragraph" w:styleId="Listepuces">
    <w:name w:val="List Bullet"/>
    <w:basedOn w:val="Normal"/>
    <w:uiPriority w:val="7"/>
    <w:rsid w:val="0025745A"/>
    <w:pPr>
      <w:numPr>
        <w:numId w:val="5"/>
      </w:numPr>
      <w:spacing w:before="120" w:after="200" w:line="264" w:lineRule="auto"/>
      <w:ind w:left="0" w:firstLine="0"/>
    </w:pPr>
    <w:rPr>
      <w:rFonts w:ascii="Calibri" w:hAnsi="Calibri"/>
      <w:color w:val="767171" w:themeColor="background2" w:themeShade="80"/>
      <w:lang w:eastAsia="ja-JP"/>
    </w:rPr>
  </w:style>
  <w:style w:type="paragraph" w:styleId="Listenumros">
    <w:name w:val="List Number"/>
    <w:basedOn w:val="Normal"/>
    <w:uiPriority w:val="5"/>
    <w:unhideWhenUsed/>
    <w:rsid w:val="0025745A"/>
    <w:pPr>
      <w:numPr>
        <w:numId w:val="6"/>
      </w:numPr>
      <w:spacing w:before="120" w:after="200" w:line="264" w:lineRule="auto"/>
      <w:ind w:left="0" w:firstLine="0"/>
      <w:contextualSpacing/>
    </w:pPr>
    <w:rPr>
      <w:rFonts w:ascii="Calibri" w:hAnsi="Calibri"/>
      <w:color w:val="767171" w:themeColor="background2" w:themeShade="80"/>
      <w:lang w:eastAsia="ja-JP"/>
    </w:rPr>
  </w:style>
  <w:style w:type="paragraph" w:styleId="Titre">
    <w:name w:val="Title"/>
    <w:basedOn w:val="Normal"/>
    <w:link w:val="TitreCar"/>
    <w:uiPriority w:val="2"/>
    <w:unhideWhenUsed/>
    <w:rsid w:val="0025745A"/>
    <w:pPr>
      <w:adjustRightInd w:val="0"/>
      <w:spacing w:after="40" w:line="1200" w:lineRule="exact"/>
      <w:ind w:left="630"/>
      <w:contextualSpacing/>
    </w:pPr>
    <w:rPr>
      <w:rFonts w:asciiTheme="majorHAnsi" w:eastAsiaTheme="majorEastAsia" w:hAnsiTheme="majorHAnsi" w:cs="Times New Roman (Headings CS)"/>
      <w:b/>
      <w:caps/>
      <w:color w:val="44546A" w:themeColor="text2"/>
      <w:spacing w:val="30"/>
      <w:kern w:val="28"/>
      <w:sz w:val="110"/>
      <w:szCs w:val="60"/>
      <w:lang w:eastAsia="ja-JP"/>
    </w:rPr>
  </w:style>
  <w:style w:type="character" w:customStyle="1" w:styleId="TitreCar">
    <w:name w:val="Titre Car"/>
    <w:basedOn w:val="Policepardfaut"/>
    <w:link w:val="Titre"/>
    <w:uiPriority w:val="2"/>
    <w:rsid w:val="0025745A"/>
    <w:rPr>
      <w:rFonts w:asciiTheme="majorHAnsi" w:eastAsiaTheme="majorEastAsia" w:hAnsiTheme="majorHAnsi" w:cs="Times New Roman (Headings CS)"/>
      <w:b/>
      <w:caps/>
      <w:color w:val="44546A" w:themeColor="text2"/>
      <w:spacing w:val="30"/>
      <w:kern w:val="28"/>
      <w:sz w:val="110"/>
      <w:szCs w:val="60"/>
      <w:lang w:eastAsia="ja-JP"/>
      <w14:ligatures w14:val="none"/>
    </w:rPr>
  </w:style>
  <w:style w:type="paragraph" w:styleId="Sous-titre">
    <w:name w:val="Subtitle"/>
    <w:basedOn w:val="Normal"/>
    <w:link w:val="Sous-titreCar"/>
    <w:uiPriority w:val="3"/>
    <w:unhideWhenUsed/>
    <w:qFormat/>
    <w:rsid w:val="0025745A"/>
    <w:pPr>
      <w:numPr>
        <w:ilvl w:val="1"/>
      </w:numPr>
      <w:spacing w:before="300" w:after="40" w:line="264" w:lineRule="auto"/>
      <w:ind w:left="630"/>
      <w:contextualSpacing/>
    </w:pPr>
    <w:rPr>
      <w:rFonts w:ascii="Calibri" w:eastAsiaTheme="majorEastAsia" w:hAnsi="Calibri" w:cstheme="majorBidi"/>
      <w:caps/>
      <w:color w:val="4472C4" w:themeColor="accent1"/>
      <w:sz w:val="36"/>
      <w:szCs w:val="26"/>
      <w:lang w:eastAsia="ja-JP"/>
    </w:rPr>
  </w:style>
  <w:style w:type="character" w:customStyle="1" w:styleId="Sous-titreCar">
    <w:name w:val="Sous-titre Car"/>
    <w:basedOn w:val="Policepardfaut"/>
    <w:link w:val="Sous-titre"/>
    <w:uiPriority w:val="3"/>
    <w:rsid w:val="0025745A"/>
    <w:rPr>
      <w:rFonts w:ascii="Calibri" w:eastAsiaTheme="majorEastAsia" w:hAnsi="Calibri" w:cstheme="majorBidi"/>
      <w:caps/>
      <w:color w:val="4472C4" w:themeColor="accent1"/>
      <w:kern w:val="0"/>
      <w:sz w:val="36"/>
      <w:szCs w:val="26"/>
      <w:lang w:eastAsia="ja-JP"/>
      <w14:ligatures w14:val="none"/>
    </w:rPr>
  </w:style>
  <w:style w:type="paragraph" w:customStyle="1" w:styleId="Photo">
    <w:name w:val="Photo"/>
    <w:basedOn w:val="Normal"/>
    <w:uiPriority w:val="1"/>
    <w:semiHidden/>
    <w:rsid w:val="0025745A"/>
    <w:pPr>
      <w:spacing w:before="2400" w:after="400" w:line="264" w:lineRule="auto"/>
      <w:jc w:val="center"/>
    </w:pPr>
    <w:rPr>
      <w:rFonts w:ascii="Calibri" w:hAnsi="Calibri"/>
      <w:color w:val="767171" w:themeColor="background2" w:themeShade="80"/>
      <w:lang w:eastAsia="ja-JP"/>
    </w:rPr>
  </w:style>
  <w:style w:type="paragraph" w:styleId="Lgende">
    <w:name w:val="caption"/>
    <w:basedOn w:val="Normal"/>
    <w:next w:val="Normal"/>
    <w:uiPriority w:val="2"/>
    <w:unhideWhenUsed/>
    <w:qFormat/>
    <w:rsid w:val="0025745A"/>
    <w:pPr>
      <w:spacing w:after="200" w:line="240" w:lineRule="auto"/>
    </w:pPr>
    <w:rPr>
      <w:rFonts w:ascii="Calibri" w:hAnsi="Calibri"/>
      <w:i/>
      <w:iCs/>
      <w:color w:val="767171" w:themeColor="background2" w:themeShade="80"/>
      <w:szCs w:val="18"/>
      <w:lang w:eastAsia="ja-JP"/>
    </w:rPr>
  </w:style>
  <w:style w:type="paragraph" w:styleId="En-ttedetabledesmatires">
    <w:name w:val="TOC Heading"/>
    <w:basedOn w:val="Titre1"/>
    <w:next w:val="Normal"/>
    <w:uiPriority w:val="39"/>
    <w:unhideWhenUsed/>
    <w:qFormat/>
    <w:rsid w:val="0025745A"/>
    <w:pPr>
      <w:spacing w:before="0"/>
      <w:outlineLvl w:val="9"/>
    </w:pPr>
  </w:style>
  <w:style w:type="paragraph" w:styleId="TM3">
    <w:name w:val="toc 3"/>
    <w:basedOn w:val="Normal"/>
    <w:next w:val="Normal"/>
    <w:autoRedefine/>
    <w:uiPriority w:val="39"/>
    <w:semiHidden/>
    <w:unhideWhenUsed/>
    <w:rsid w:val="0025745A"/>
    <w:pPr>
      <w:spacing w:before="120" w:after="100" w:line="264" w:lineRule="auto"/>
      <w:ind w:left="400"/>
    </w:pPr>
    <w:rPr>
      <w:rFonts w:ascii="Calibri" w:hAnsi="Calibri"/>
      <w:i/>
      <w:iCs/>
      <w:color w:val="767171" w:themeColor="background2" w:themeShade="80"/>
      <w:lang w:eastAsia="ja-JP"/>
    </w:rPr>
  </w:style>
  <w:style w:type="paragraph" w:styleId="TM1">
    <w:name w:val="toc 1"/>
    <w:basedOn w:val="Normal"/>
    <w:next w:val="Normal"/>
    <w:autoRedefine/>
    <w:uiPriority w:val="39"/>
    <w:unhideWhenUsed/>
    <w:rsid w:val="0025745A"/>
    <w:pPr>
      <w:spacing w:before="120" w:after="100" w:line="264" w:lineRule="auto"/>
    </w:pPr>
    <w:rPr>
      <w:rFonts w:ascii="Calibri" w:hAnsi="Calibri"/>
      <w:b/>
      <w:bCs/>
      <w:color w:val="000000" w:themeColor="text1"/>
      <w:lang w:eastAsia="ja-JP"/>
    </w:rPr>
  </w:style>
  <w:style w:type="paragraph" w:styleId="TM2">
    <w:name w:val="toc 2"/>
    <w:basedOn w:val="Normal"/>
    <w:next w:val="Normal"/>
    <w:autoRedefine/>
    <w:uiPriority w:val="39"/>
    <w:unhideWhenUsed/>
    <w:rsid w:val="0025745A"/>
    <w:pPr>
      <w:spacing w:before="120" w:after="100" w:line="264" w:lineRule="auto"/>
      <w:ind w:left="200"/>
    </w:pPr>
    <w:rPr>
      <w:rFonts w:ascii="Calibri" w:hAnsi="Calibri"/>
      <w:color w:val="767171" w:themeColor="background2" w:themeShade="80"/>
      <w:lang w:eastAsia="ja-JP"/>
    </w:rPr>
  </w:style>
  <w:style w:type="paragraph" w:styleId="Textedebulles">
    <w:name w:val="Balloon Text"/>
    <w:basedOn w:val="Normal"/>
    <w:link w:val="TextedebullesCar"/>
    <w:uiPriority w:val="99"/>
    <w:semiHidden/>
    <w:unhideWhenUsed/>
    <w:rsid w:val="0025745A"/>
    <w:pPr>
      <w:spacing w:before="120" w:after="0" w:line="240" w:lineRule="auto"/>
    </w:pPr>
    <w:rPr>
      <w:rFonts w:ascii="Tahoma" w:hAnsi="Tahoma" w:cs="Tahoma"/>
      <w:color w:val="767171" w:themeColor="background2" w:themeShade="80"/>
      <w:szCs w:val="16"/>
      <w:lang w:eastAsia="ja-JP"/>
    </w:rPr>
  </w:style>
  <w:style w:type="character" w:customStyle="1" w:styleId="TextedebullesCar">
    <w:name w:val="Texte de bulles Car"/>
    <w:basedOn w:val="Policepardfaut"/>
    <w:link w:val="Textedebulles"/>
    <w:uiPriority w:val="99"/>
    <w:semiHidden/>
    <w:rsid w:val="0025745A"/>
    <w:rPr>
      <w:rFonts w:ascii="Tahoma" w:eastAsiaTheme="minorEastAsia" w:hAnsi="Tahoma" w:cs="Tahoma"/>
      <w:color w:val="767171" w:themeColor="background2" w:themeShade="80"/>
      <w:kern w:val="0"/>
      <w:szCs w:val="16"/>
      <w:lang w:eastAsia="ja-JP"/>
      <w14:ligatures w14:val="none"/>
    </w:rPr>
  </w:style>
  <w:style w:type="paragraph" w:styleId="Bibliographie">
    <w:name w:val="Bibliography"/>
    <w:basedOn w:val="Normal"/>
    <w:next w:val="Normal"/>
    <w:uiPriority w:val="39"/>
    <w:semiHidden/>
    <w:unhideWhenUsed/>
    <w:rsid w:val="0025745A"/>
    <w:pPr>
      <w:spacing w:before="120" w:after="200" w:line="264" w:lineRule="auto"/>
    </w:pPr>
    <w:rPr>
      <w:rFonts w:ascii="Calibri" w:hAnsi="Calibri"/>
      <w:color w:val="767171" w:themeColor="background2" w:themeShade="80"/>
      <w:lang w:eastAsia="ja-JP"/>
    </w:rPr>
  </w:style>
  <w:style w:type="paragraph" w:styleId="Corpsdetexte3">
    <w:name w:val="Body Text 3"/>
    <w:basedOn w:val="Normal"/>
    <w:link w:val="Corpsdetexte3Car"/>
    <w:uiPriority w:val="99"/>
    <w:semiHidden/>
    <w:unhideWhenUsed/>
    <w:rsid w:val="0025745A"/>
    <w:pPr>
      <w:spacing w:before="120" w:after="120" w:line="264" w:lineRule="auto"/>
    </w:pPr>
    <w:rPr>
      <w:rFonts w:ascii="Calibri" w:hAnsi="Calibri"/>
      <w:color w:val="767171" w:themeColor="background2" w:themeShade="80"/>
      <w:szCs w:val="16"/>
      <w:lang w:eastAsia="ja-JP"/>
    </w:rPr>
  </w:style>
  <w:style w:type="character" w:customStyle="1" w:styleId="Corpsdetexte3Car">
    <w:name w:val="Corps de texte 3 Car"/>
    <w:basedOn w:val="Policepardfaut"/>
    <w:link w:val="Corpsdetexte3"/>
    <w:uiPriority w:val="99"/>
    <w:semiHidden/>
    <w:rsid w:val="0025745A"/>
    <w:rPr>
      <w:rFonts w:ascii="Calibri" w:eastAsiaTheme="minorEastAsia" w:hAnsi="Calibri"/>
      <w:color w:val="767171" w:themeColor="background2" w:themeShade="80"/>
      <w:kern w:val="0"/>
      <w:szCs w:val="16"/>
      <w:lang w:eastAsia="ja-JP"/>
      <w14:ligatures w14:val="none"/>
    </w:rPr>
  </w:style>
  <w:style w:type="table" w:customStyle="1" w:styleId="Tableaudefiche">
    <w:name w:val="Tableau de fiche"/>
    <w:basedOn w:val="TableauNormal"/>
    <w:uiPriority w:val="99"/>
    <w:rsid w:val="0025745A"/>
    <w:pPr>
      <w:spacing w:before="60" w:after="60" w:line="240" w:lineRule="auto"/>
      <w:jc w:val="center"/>
    </w:pPr>
    <w:rPr>
      <w:rFonts w:eastAsiaTheme="minorEastAsia"/>
      <w:color w:val="44546A" w:themeColor="text2"/>
      <w:kern w:val="0"/>
      <w:lang w:eastAsia="ja-JP"/>
      <w14:ligatures w14:val="none"/>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style>
  <w:style w:type="table" w:styleId="Grilledutableau">
    <w:name w:val="Table Grid"/>
    <w:basedOn w:val="TableauNormal"/>
    <w:uiPriority w:val="1"/>
    <w:rsid w:val="0025745A"/>
    <w:pPr>
      <w:spacing w:after="0" w:line="240" w:lineRule="auto"/>
    </w:pPr>
    <w:rPr>
      <w:rFonts w:eastAsiaTheme="minorEastAsia"/>
      <w:color w:val="44546A" w:themeColor="text2"/>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5745A"/>
    <w:rPr>
      <w:sz w:val="22"/>
      <w:szCs w:val="16"/>
    </w:rPr>
  </w:style>
  <w:style w:type="paragraph" w:styleId="Retraitcorpsdetexte3">
    <w:name w:val="Body Text Indent 3"/>
    <w:basedOn w:val="Normal"/>
    <w:link w:val="Retraitcorpsdetexte3Car"/>
    <w:uiPriority w:val="99"/>
    <w:semiHidden/>
    <w:unhideWhenUsed/>
    <w:rsid w:val="0025745A"/>
    <w:pPr>
      <w:spacing w:before="120" w:after="120" w:line="264" w:lineRule="auto"/>
      <w:ind w:left="360"/>
    </w:pPr>
    <w:rPr>
      <w:rFonts w:ascii="Calibri" w:hAnsi="Calibri"/>
      <w:color w:val="767171" w:themeColor="background2" w:themeShade="80"/>
      <w:szCs w:val="16"/>
      <w:lang w:eastAsia="ja-JP"/>
    </w:rPr>
  </w:style>
  <w:style w:type="character" w:customStyle="1" w:styleId="Retraitcorpsdetexte3Car">
    <w:name w:val="Retrait corps de texte 3 Car"/>
    <w:basedOn w:val="Policepardfaut"/>
    <w:link w:val="Retraitcorpsdetexte3"/>
    <w:uiPriority w:val="99"/>
    <w:semiHidden/>
    <w:rsid w:val="0025745A"/>
    <w:rPr>
      <w:rFonts w:ascii="Calibri" w:eastAsiaTheme="minorEastAsia" w:hAnsi="Calibri"/>
      <w:color w:val="767171" w:themeColor="background2" w:themeShade="80"/>
      <w:kern w:val="0"/>
      <w:szCs w:val="16"/>
      <w:lang w:eastAsia="ja-JP"/>
      <w14:ligatures w14:val="none"/>
    </w:rPr>
  </w:style>
  <w:style w:type="paragraph" w:styleId="Commentaire">
    <w:name w:val="annotation text"/>
    <w:basedOn w:val="Normal"/>
    <w:link w:val="CommentaireCar"/>
    <w:uiPriority w:val="99"/>
    <w:unhideWhenUsed/>
    <w:rsid w:val="0025745A"/>
    <w:pPr>
      <w:spacing w:before="120" w:after="200" w:line="240" w:lineRule="auto"/>
    </w:pPr>
    <w:rPr>
      <w:rFonts w:ascii="Calibri" w:hAnsi="Calibri"/>
      <w:color w:val="767171" w:themeColor="background2" w:themeShade="80"/>
      <w:szCs w:val="20"/>
      <w:lang w:eastAsia="ja-JP"/>
    </w:rPr>
  </w:style>
  <w:style w:type="character" w:customStyle="1" w:styleId="CommentaireCar">
    <w:name w:val="Commentaire Car"/>
    <w:basedOn w:val="Policepardfaut"/>
    <w:link w:val="Commentaire"/>
    <w:uiPriority w:val="99"/>
    <w:rsid w:val="0025745A"/>
    <w:rPr>
      <w:rFonts w:ascii="Calibri" w:eastAsiaTheme="minorEastAsia" w:hAnsi="Calibri"/>
      <w:color w:val="767171" w:themeColor="background2" w:themeShade="80"/>
      <w:kern w:val="0"/>
      <w:szCs w:val="20"/>
      <w:lang w:eastAsia="ja-JP"/>
      <w14:ligatures w14:val="none"/>
    </w:rPr>
  </w:style>
  <w:style w:type="paragraph" w:styleId="Objetducommentaire">
    <w:name w:val="annotation subject"/>
    <w:basedOn w:val="Commentaire"/>
    <w:next w:val="Commentaire"/>
    <w:link w:val="ObjetducommentaireCar"/>
    <w:uiPriority w:val="99"/>
    <w:semiHidden/>
    <w:unhideWhenUsed/>
    <w:rsid w:val="0025745A"/>
    <w:rPr>
      <w:b/>
      <w:bCs/>
    </w:rPr>
  </w:style>
  <w:style w:type="character" w:customStyle="1" w:styleId="ObjetducommentaireCar">
    <w:name w:val="Objet du commentaire Car"/>
    <w:basedOn w:val="CommentaireCar"/>
    <w:link w:val="Objetducommentaire"/>
    <w:uiPriority w:val="99"/>
    <w:semiHidden/>
    <w:rsid w:val="0025745A"/>
    <w:rPr>
      <w:rFonts w:ascii="Calibri" w:eastAsiaTheme="minorEastAsia" w:hAnsi="Calibri"/>
      <w:b/>
      <w:bCs/>
      <w:color w:val="767171" w:themeColor="background2" w:themeShade="80"/>
      <w:kern w:val="0"/>
      <w:szCs w:val="20"/>
      <w:lang w:eastAsia="ja-JP"/>
      <w14:ligatures w14:val="none"/>
    </w:rPr>
  </w:style>
  <w:style w:type="paragraph" w:styleId="Explorateurdedocuments">
    <w:name w:val="Document Map"/>
    <w:basedOn w:val="Normal"/>
    <w:link w:val="ExplorateurdedocumentsCar"/>
    <w:uiPriority w:val="99"/>
    <w:semiHidden/>
    <w:unhideWhenUsed/>
    <w:rsid w:val="0025745A"/>
    <w:pPr>
      <w:spacing w:after="0" w:line="240" w:lineRule="auto"/>
    </w:pPr>
    <w:rPr>
      <w:rFonts w:ascii="Segoe UI" w:hAnsi="Segoe UI" w:cs="Segoe UI"/>
      <w:color w:val="767171" w:themeColor="background2" w:themeShade="80"/>
      <w:szCs w:val="16"/>
      <w:lang w:eastAsia="ja-JP"/>
    </w:rPr>
  </w:style>
  <w:style w:type="character" w:customStyle="1" w:styleId="ExplorateurdedocumentsCar">
    <w:name w:val="Explorateur de documents Car"/>
    <w:basedOn w:val="Policepardfaut"/>
    <w:link w:val="Explorateurdedocuments"/>
    <w:uiPriority w:val="99"/>
    <w:semiHidden/>
    <w:rsid w:val="0025745A"/>
    <w:rPr>
      <w:rFonts w:ascii="Segoe UI" w:eastAsiaTheme="minorEastAsia" w:hAnsi="Segoe UI" w:cs="Segoe UI"/>
      <w:color w:val="767171" w:themeColor="background2" w:themeShade="80"/>
      <w:kern w:val="0"/>
      <w:szCs w:val="16"/>
      <w:lang w:eastAsia="ja-JP"/>
      <w14:ligatures w14:val="none"/>
    </w:rPr>
  </w:style>
  <w:style w:type="paragraph" w:styleId="Notedefin">
    <w:name w:val="endnote text"/>
    <w:basedOn w:val="Normal"/>
    <w:link w:val="NotedefinCar"/>
    <w:uiPriority w:val="99"/>
    <w:semiHidden/>
    <w:unhideWhenUsed/>
    <w:rsid w:val="0025745A"/>
    <w:pPr>
      <w:spacing w:after="0" w:line="240" w:lineRule="auto"/>
    </w:pPr>
    <w:rPr>
      <w:rFonts w:ascii="Calibri" w:hAnsi="Calibri"/>
      <w:color w:val="767171" w:themeColor="background2" w:themeShade="80"/>
      <w:szCs w:val="20"/>
      <w:lang w:eastAsia="ja-JP"/>
    </w:rPr>
  </w:style>
  <w:style w:type="character" w:customStyle="1" w:styleId="NotedefinCar">
    <w:name w:val="Note de fin Car"/>
    <w:basedOn w:val="Policepardfaut"/>
    <w:link w:val="Notedefin"/>
    <w:uiPriority w:val="99"/>
    <w:semiHidden/>
    <w:rsid w:val="0025745A"/>
    <w:rPr>
      <w:rFonts w:ascii="Calibri" w:eastAsiaTheme="minorEastAsia" w:hAnsi="Calibri"/>
      <w:color w:val="767171" w:themeColor="background2" w:themeShade="80"/>
      <w:kern w:val="0"/>
      <w:szCs w:val="20"/>
      <w:lang w:eastAsia="ja-JP"/>
      <w14:ligatures w14:val="none"/>
    </w:rPr>
  </w:style>
  <w:style w:type="paragraph" w:styleId="Adresseexpditeur">
    <w:name w:val="envelope return"/>
    <w:basedOn w:val="Normal"/>
    <w:uiPriority w:val="99"/>
    <w:semiHidden/>
    <w:unhideWhenUsed/>
    <w:rsid w:val="0025745A"/>
    <w:pPr>
      <w:spacing w:after="0" w:line="240" w:lineRule="auto"/>
    </w:pPr>
    <w:rPr>
      <w:rFonts w:asciiTheme="majorHAnsi" w:eastAsiaTheme="majorEastAsia" w:hAnsiTheme="majorHAnsi" w:cstheme="majorBidi"/>
      <w:color w:val="767171" w:themeColor="background2" w:themeShade="80"/>
      <w:szCs w:val="20"/>
      <w:lang w:eastAsia="ja-JP"/>
    </w:rPr>
  </w:style>
  <w:style w:type="paragraph" w:styleId="Notedebasdepage">
    <w:name w:val="footnote text"/>
    <w:basedOn w:val="Normal"/>
    <w:link w:val="NotedebasdepageCar"/>
    <w:uiPriority w:val="99"/>
    <w:semiHidden/>
    <w:unhideWhenUsed/>
    <w:rsid w:val="0025745A"/>
    <w:pPr>
      <w:spacing w:after="0" w:line="240" w:lineRule="auto"/>
    </w:pPr>
    <w:rPr>
      <w:rFonts w:ascii="Calibri" w:hAnsi="Calibri"/>
      <w:color w:val="767171" w:themeColor="background2" w:themeShade="80"/>
      <w:szCs w:val="20"/>
      <w:lang w:eastAsia="ja-JP"/>
    </w:rPr>
  </w:style>
  <w:style w:type="character" w:customStyle="1" w:styleId="NotedebasdepageCar">
    <w:name w:val="Note de bas de page Car"/>
    <w:basedOn w:val="Policepardfaut"/>
    <w:link w:val="Notedebasdepage"/>
    <w:uiPriority w:val="99"/>
    <w:semiHidden/>
    <w:rsid w:val="0025745A"/>
    <w:rPr>
      <w:rFonts w:ascii="Calibri" w:eastAsiaTheme="minorEastAsia" w:hAnsi="Calibri"/>
      <w:color w:val="767171" w:themeColor="background2" w:themeShade="80"/>
      <w:kern w:val="0"/>
      <w:szCs w:val="20"/>
      <w:lang w:eastAsia="ja-JP"/>
      <w14:ligatures w14:val="none"/>
    </w:rPr>
  </w:style>
  <w:style w:type="character" w:styleId="CodeHTML">
    <w:name w:val="HTML Code"/>
    <w:basedOn w:val="Policepardfaut"/>
    <w:uiPriority w:val="99"/>
    <w:semiHidden/>
    <w:unhideWhenUsed/>
    <w:rsid w:val="0025745A"/>
    <w:rPr>
      <w:rFonts w:ascii="Consolas" w:hAnsi="Consolas"/>
      <w:sz w:val="22"/>
      <w:szCs w:val="20"/>
    </w:rPr>
  </w:style>
  <w:style w:type="paragraph" w:styleId="PrformatHTML">
    <w:name w:val="HTML Preformatted"/>
    <w:basedOn w:val="Normal"/>
    <w:link w:val="PrformatHTMLCar"/>
    <w:uiPriority w:val="99"/>
    <w:semiHidden/>
    <w:unhideWhenUsed/>
    <w:rsid w:val="0025745A"/>
    <w:pPr>
      <w:spacing w:after="0" w:line="240" w:lineRule="auto"/>
    </w:pPr>
    <w:rPr>
      <w:rFonts w:ascii="Consolas" w:hAnsi="Consolas"/>
      <w:color w:val="767171" w:themeColor="background2" w:themeShade="80"/>
      <w:szCs w:val="20"/>
      <w:lang w:eastAsia="ja-JP"/>
    </w:rPr>
  </w:style>
  <w:style w:type="character" w:customStyle="1" w:styleId="PrformatHTMLCar">
    <w:name w:val="Préformaté HTML Car"/>
    <w:basedOn w:val="Policepardfaut"/>
    <w:link w:val="PrformatHTML"/>
    <w:uiPriority w:val="99"/>
    <w:semiHidden/>
    <w:rsid w:val="0025745A"/>
    <w:rPr>
      <w:rFonts w:ascii="Consolas" w:eastAsiaTheme="minorEastAsia" w:hAnsi="Consolas"/>
      <w:color w:val="767171" w:themeColor="background2" w:themeShade="80"/>
      <w:kern w:val="0"/>
      <w:szCs w:val="20"/>
      <w:lang w:eastAsia="ja-JP"/>
      <w14:ligatures w14:val="none"/>
    </w:rPr>
  </w:style>
  <w:style w:type="character" w:styleId="ClavierHTML">
    <w:name w:val="HTML Keyboard"/>
    <w:basedOn w:val="Policepardfaut"/>
    <w:uiPriority w:val="99"/>
    <w:semiHidden/>
    <w:unhideWhenUsed/>
    <w:rsid w:val="0025745A"/>
    <w:rPr>
      <w:rFonts w:ascii="Consolas" w:hAnsi="Consolas"/>
      <w:sz w:val="22"/>
      <w:szCs w:val="20"/>
    </w:rPr>
  </w:style>
  <w:style w:type="character" w:styleId="MachinecrireHTML">
    <w:name w:val="HTML Typewriter"/>
    <w:basedOn w:val="Policepardfaut"/>
    <w:uiPriority w:val="99"/>
    <w:semiHidden/>
    <w:unhideWhenUsed/>
    <w:rsid w:val="0025745A"/>
    <w:rPr>
      <w:rFonts w:ascii="Consolas" w:hAnsi="Consolas"/>
      <w:sz w:val="22"/>
      <w:szCs w:val="20"/>
    </w:rPr>
  </w:style>
  <w:style w:type="paragraph" w:styleId="Textedemacro">
    <w:name w:val="macro"/>
    <w:link w:val="TextedemacroCar"/>
    <w:uiPriority w:val="99"/>
    <w:semiHidden/>
    <w:unhideWhenUsed/>
    <w:rsid w:val="0025745A"/>
    <w:pPr>
      <w:tabs>
        <w:tab w:val="left" w:pos="480"/>
        <w:tab w:val="left" w:pos="960"/>
        <w:tab w:val="left" w:pos="1440"/>
        <w:tab w:val="left" w:pos="1920"/>
        <w:tab w:val="left" w:pos="2400"/>
        <w:tab w:val="left" w:pos="2880"/>
        <w:tab w:val="left" w:pos="3360"/>
        <w:tab w:val="left" w:pos="3840"/>
        <w:tab w:val="left" w:pos="4320"/>
      </w:tabs>
      <w:spacing w:before="120" w:after="0" w:line="264" w:lineRule="auto"/>
    </w:pPr>
    <w:rPr>
      <w:rFonts w:ascii="Consolas" w:eastAsiaTheme="minorEastAsia" w:hAnsi="Consolas"/>
      <w:color w:val="44546A" w:themeColor="text2"/>
      <w:kern w:val="0"/>
      <w:szCs w:val="20"/>
      <w:lang w:eastAsia="ja-JP"/>
      <w14:ligatures w14:val="none"/>
    </w:rPr>
  </w:style>
  <w:style w:type="character" w:customStyle="1" w:styleId="TextedemacroCar">
    <w:name w:val="Texte de macro Car"/>
    <w:basedOn w:val="Policepardfaut"/>
    <w:link w:val="Textedemacro"/>
    <w:uiPriority w:val="99"/>
    <w:semiHidden/>
    <w:rsid w:val="0025745A"/>
    <w:rPr>
      <w:rFonts w:ascii="Consolas" w:eastAsiaTheme="minorEastAsia" w:hAnsi="Consolas"/>
      <w:color w:val="44546A" w:themeColor="text2"/>
      <w:kern w:val="0"/>
      <w:szCs w:val="20"/>
      <w:lang w:eastAsia="ja-JP"/>
      <w14:ligatures w14:val="none"/>
    </w:rPr>
  </w:style>
  <w:style w:type="paragraph" w:styleId="Textebrut">
    <w:name w:val="Plain Text"/>
    <w:basedOn w:val="Normal"/>
    <w:link w:val="TextebrutCar"/>
    <w:uiPriority w:val="99"/>
    <w:semiHidden/>
    <w:unhideWhenUsed/>
    <w:rsid w:val="0025745A"/>
    <w:pPr>
      <w:spacing w:after="0" w:line="240" w:lineRule="auto"/>
    </w:pPr>
    <w:rPr>
      <w:rFonts w:ascii="Consolas" w:hAnsi="Consolas"/>
      <w:color w:val="767171" w:themeColor="background2" w:themeShade="80"/>
      <w:szCs w:val="21"/>
      <w:lang w:eastAsia="ja-JP"/>
    </w:rPr>
  </w:style>
  <w:style w:type="character" w:customStyle="1" w:styleId="TextebrutCar">
    <w:name w:val="Texte brut Car"/>
    <w:basedOn w:val="Policepardfaut"/>
    <w:link w:val="Textebrut"/>
    <w:uiPriority w:val="99"/>
    <w:semiHidden/>
    <w:rsid w:val="0025745A"/>
    <w:rPr>
      <w:rFonts w:ascii="Consolas" w:eastAsiaTheme="minorEastAsia" w:hAnsi="Consolas"/>
      <w:color w:val="767171" w:themeColor="background2" w:themeShade="80"/>
      <w:kern w:val="0"/>
      <w:szCs w:val="21"/>
      <w:lang w:eastAsia="ja-JP"/>
      <w14:ligatures w14:val="none"/>
    </w:rPr>
  </w:style>
  <w:style w:type="character" w:styleId="Textedelespacerserv">
    <w:name w:val="Placeholder Text"/>
    <w:basedOn w:val="Policepardfaut"/>
    <w:uiPriority w:val="99"/>
    <w:semiHidden/>
    <w:rsid w:val="0025745A"/>
    <w:rPr>
      <w:color w:val="595959" w:themeColor="text1" w:themeTint="A6"/>
    </w:rPr>
  </w:style>
  <w:style w:type="paragraph" w:customStyle="1" w:styleId="Style1">
    <w:name w:val="Style 1"/>
    <w:basedOn w:val="Titre"/>
    <w:semiHidden/>
    <w:qFormat/>
    <w:rsid w:val="0025745A"/>
    <w:pPr>
      <w:framePr w:hSpace="187" w:wrap="around" w:vAnchor="page" w:hAnchor="page" w:x="1337" w:y="1043"/>
    </w:pPr>
    <w:rPr>
      <w:bCs/>
      <w:szCs w:val="110"/>
    </w:rPr>
  </w:style>
  <w:style w:type="paragraph" w:customStyle="1" w:styleId="Style2">
    <w:name w:val="Style 2"/>
    <w:basedOn w:val="Sous-titre"/>
    <w:semiHidden/>
    <w:qFormat/>
    <w:rsid w:val="0025745A"/>
    <w:pPr>
      <w:framePr w:hSpace="187" w:wrap="around" w:vAnchor="page" w:hAnchor="page" w:x="1337" w:y="1043"/>
      <w:spacing w:line="240" w:lineRule="auto"/>
    </w:pPr>
    <w:rPr>
      <w:rFonts w:ascii="Gill Sans MT" w:hAnsi="Gill Sans MT"/>
    </w:rPr>
  </w:style>
  <w:style w:type="paragraph" w:styleId="Tabledesillustrations">
    <w:name w:val="table of figures"/>
    <w:basedOn w:val="Normal"/>
    <w:next w:val="Normal"/>
    <w:uiPriority w:val="99"/>
    <w:unhideWhenUsed/>
    <w:rsid w:val="0025745A"/>
    <w:pPr>
      <w:spacing w:before="120" w:after="0" w:line="264" w:lineRule="auto"/>
    </w:pPr>
    <w:rPr>
      <w:rFonts w:ascii="Calibri" w:hAnsi="Calibri"/>
      <w:color w:val="767171" w:themeColor="background2" w:themeShade="80"/>
      <w:lang w:eastAsia="ja-JP"/>
    </w:rPr>
  </w:style>
  <w:style w:type="paragraph" w:styleId="NormalWeb">
    <w:name w:val="Normal (Web)"/>
    <w:basedOn w:val="Normal"/>
    <w:uiPriority w:val="99"/>
    <w:semiHidden/>
    <w:unhideWhenUsed/>
    <w:rsid w:val="00257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u">
    <w:name w:val="Contenu"/>
    <w:basedOn w:val="Normal"/>
    <w:link w:val="Caractredecontenu"/>
    <w:qFormat/>
    <w:rsid w:val="0025745A"/>
    <w:pPr>
      <w:spacing w:after="0" w:line="276" w:lineRule="auto"/>
    </w:pPr>
    <w:rPr>
      <w:color w:val="44546A" w:themeColor="text2"/>
      <w:sz w:val="28"/>
      <w:lang w:eastAsia="en-US"/>
    </w:rPr>
  </w:style>
  <w:style w:type="character" w:customStyle="1" w:styleId="Caractredecontenu">
    <w:name w:val="Caractère de contenu"/>
    <w:basedOn w:val="Policepardfaut"/>
    <w:link w:val="Contenu"/>
    <w:rsid w:val="0025745A"/>
    <w:rPr>
      <w:rFonts w:eastAsiaTheme="minorEastAsia"/>
      <w:color w:val="44546A" w:themeColor="text2"/>
      <w:kern w:val="0"/>
      <w:sz w:val="28"/>
      <w14:ligatures w14:val="none"/>
    </w:rPr>
  </w:style>
  <w:style w:type="paragraph" w:styleId="Rvision">
    <w:name w:val="Revision"/>
    <w:hidden/>
    <w:uiPriority w:val="99"/>
    <w:semiHidden/>
    <w:rsid w:val="000D367A"/>
    <w:pPr>
      <w:spacing w:after="0" w:line="240" w:lineRule="auto"/>
    </w:pPr>
    <w:rPr>
      <w:rFonts w:eastAsiaTheme="minorEastAsia"/>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1628">
      <w:bodyDiv w:val="1"/>
      <w:marLeft w:val="0"/>
      <w:marRight w:val="0"/>
      <w:marTop w:val="0"/>
      <w:marBottom w:val="0"/>
      <w:divBdr>
        <w:top w:val="none" w:sz="0" w:space="0" w:color="auto"/>
        <w:left w:val="none" w:sz="0" w:space="0" w:color="auto"/>
        <w:bottom w:val="none" w:sz="0" w:space="0" w:color="auto"/>
        <w:right w:val="none" w:sz="0" w:space="0" w:color="auto"/>
      </w:divBdr>
    </w:div>
    <w:div w:id="327633626">
      <w:bodyDiv w:val="1"/>
      <w:marLeft w:val="0"/>
      <w:marRight w:val="0"/>
      <w:marTop w:val="0"/>
      <w:marBottom w:val="0"/>
      <w:divBdr>
        <w:top w:val="none" w:sz="0" w:space="0" w:color="auto"/>
        <w:left w:val="none" w:sz="0" w:space="0" w:color="auto"/>
        <w:bottom w:val="none" w:sz="0" w:space="0" w:color="auto"/>
        <w:right w:val="none" w:sz="0" w:space="0" w:color="auto"/>
      </w:divBdr>
    </w:div>
    <w:div w:id="949239861">
      <w:bodyDiv w:val="1"/>
      <w:marLeft w:val="0"/>
      <w:marRight w:val="0"/>
      <w:marTop w:val="0"/>
      <w:marBottom w:val="0"/>
      <w:divBdr>
        <w:top w:val="none" w:sz="0" w:space="0" w:color="auto"/>
        <w:left w:val="none" w:sz="0" w:space="0" w:color="auto"/>
        <w:bottom w:val="none" w:sz="0" w:space="0" w:color="auto"/>
        <w:right w:val="none" w:sz="0" w:space="0" w:color="auto"/>
      </w:divBdr>
    </w:div>
    <w:div w:id="1492715501">
      <w:bodyDiv w:val="1"/>
      <w:marLeft w:val="0"/>
      <w:marRight w:val="0"/>
      <w:marTop w:val="0"/>
      <w:marBottom w:val="0"/>
      <w:divBdr>
        <w:top w:val="none" w:sz="0" w:space="0" w:color="auto"/>
        <w:left w:val="none" w:sz="0" w:space="0" w:color="auto"/>
        <w:bottom w:val="none" w:sz="0" w:space="0" w:color="auto"/>
        <w:right w:val="none" w:sz="0" w:space="0" w:color="auto"/>
      </w:divBdr>
    </w:div>
    <w:div w:id="1641105645">
      <w:bodyDiv w:val="1"/>
      <w:marLeft w:val="0"/>
      <w:marRight w:val="0"/>
      <w:marTop w:val="0"/>
      <w:marBottom w:val="0"/>
      <w:divBdr>
        <w:top w:val="none" w:sz="0" w:space="0" w:color="auto"/>
        <w:left w:val="none" w:sz="0" w:space="0" w:color="auto"/>
        <w:bottom w:val="none" w:sz="0" w:space="0" w:color="auto"/>
        <w:right w:val="none" w:sz="0" w:space="0" w:color="auto"/>
      </w:divBdr>
    </w:div>
    <w:div w:id="17572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595C2BB114BB8BACA61481500AFC3"/>
        <w:category>
          <w:name w:val="Général"/>
          <w:gallery w:val="placeholder"/>
        </w:category>
        <w:types>
          <w:type w:val="bbPlcHdr"/>
        </w:types>
        <w:behaviors>
          <w:behavior w:val="content"/>
        </w:behaviors>
        <w:guid w:val="{170E385E-82AA-432F-BEFC-50D564FAC537}"/>
      </w:docPartPr>
      <w:docPartBody>
        <w:p w:rsidR="00F911A0" w:rsidRDefault="00F644B2" w:rsidP="00F644B2">
          <w:pPr>
            <w:pStyle w:val="C78595C2BB114BB8BACA61481500AFC3"/>
          </w:pPr>
          <w:r w:rsidRPr="0074501E">
            <w:rPr>
              <w:lang w:bidi="fr-FR"/>
            </w:rPr>
            <w:t>Cour suprême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erstadt">
    <w:charset w:val="00"/>
    <w:family w:val="swiss"/>
    <w:pitch w:val="variable"/>
    <w:sig w:usb0="80000003" w:usb1="00000001" w:usb2="00000000" w:usb3="00000000" w:csb0="000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B2"/>
    <w:rsid w:val="0061183A"/>
    <w:rsid w:val="00612D9D"/>
    <w:rsid w:val="00743D3D"/>
    <w:rsid w:val="00A31FA0"/>
    <w:rsid w:val="00C5666B"/>
    <w:rsid w:val="00EA1D5F"/>
    <w:rsid w:val="00F644B2"/>
    <w:rsid w:val="00F911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78595C2BB114BB8BACA61481500AFC3">
    <w:name w:val="C78595C2BB114BB8BACA61481500AFC3"/>
    <w:rsid w:val="00F64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5EA4C-78A2-4A47-99B2-1811033A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2220</Words>
  <Characters>12211</Characters>
  <Application>Microsoft Office Word</Application>
  <DocSecurity>0</DocSecurity>
  <Lines>101</Lines>
  <Paragraphs>28</Paragraphs>
  <ScaleCrop>false</ScaleCrop>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 d’orientation budgétaire PETR du Nord de l’Yonne 2026</dc:creator>
  <cp:keywords/>
  <dc:description/>
  <cp:lastModifiedBy>Mickaël PAGNOUX</cp:lastModifiedBy>
  <cp:revision>19</cp:revision>
  <dcterms:created xsi:type="dcterms:W3CDTF">2026-01-06T16:58:00Z</dcterms:created>
  <dcterms:modified xsi:type="dcterms:W3CDTF">2026-01-07T09:05:00Z</dcterms:modified>
</cp:coreProperties>
</file>